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85BD7" w14:textId="71114F96" w:rsidR="00414C4F" w:rsidRPr="001909EF" w:rsidRDefault="00414C4F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Nr – KOD: ……………………..</w:t>
      </w:r>
    </w:p>
    <w:p w14:paraId="2D3ED893" w14:textId="77777777" w:rsidR="00414C4F" w:rsidRPr="001909EF" w:rsidRDefault="00414C4F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799E2895" w14:textId="29C41BA5" w:rsidR="00C45DAF" w:rsidRPr="001909EF" w:rsidRDefault="00D83376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PYTANIA TESTOWE</w:t>
      </w:r>
    </w:p>
    <w:p w14:paraId="7EC55049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Zgodnie z kodeksem pracy  termin dla pracownika do   złożenia wobec pracodawcy wniosku o sprostowanie świadectwa pracy wynosi:</w:t>
      </w:r>
    </w:p>
    <w:p w14:paraId="72A6079D" w14:textId="25AF337B" w:rsidR="0069323A" w:rsidRPr="001909EF" w:rsidRDefault="0069323A" w:rsidP="001E098B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14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667EFF0E" w14:textId="4D56B453" w:rsidR="0069323A" w:rsidRPr="001909EF" w:rsidRDefault="0069323A" w:rsidP="001E098B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310BA104" w14:textId="1250A84D" w:rsidR="0069323A" w:rsidRPr="001909EF" w:rsidRDefault="0069323A" w:rsidP="001E098B">
      <w:pPr>
        <w:pStyle w:val="Akapitzlist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21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1E61C9D" w14:textId="77777777" w:rsidR="00671C6D" w:rsidRPr="001909EF" w:rsidRDefault="00671C6D" w:rsidP="00671C6D">
      <w:pPr>
        <w:pStyle w:val="Akapitzlist"/>
        <w:spacing w:after="160" w:line="259" w:lineRule="auto"/>
        <w:ind w:left="10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62CE3A2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Zgodnie z kodeksem pracy  umowę o pracę na okres próbny w przypadku zamiaru zawarcia </w:t>
      </w:r>
    </w:p>
    <w:p w14:paraId="232574C7" w14:textId="77777777" w:rsidR="0069323A" w:rsidRPr="001909EF" w:rsidRDefault="0069323A" w:rsidP="0069323A">
      <w:pPr>
        <w:pStyle w:val="Akapitzlis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następnie umowy o pracę na czas określony krótszy niż 6 miesięcy zawiera się na maksymalnie  </w:t>
      </w:r>
    </w:p>
    <w:p w14:paraId="6EFDAF3C" w14:textId="3B5544C6" w:rsidR="0069323A" w:rsidRPr="001909EF" w:rsidRDefault="0069323A" w:rsidP="001E098B">
      <w:pPr>
        <w:pStyle w:val="Akapitzlist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 miesiące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53892CD" w14:textId="513C3F9D" w:rsidR="0069323A" w:rsidRPr="001909EF" w:rsidRDefault="0069323A" w:rsidP="001E098B">
      <w:pPr>
        <w:pStyle w:val="Akapitzlist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  miesiąc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6647BA5" w14:textId="0F614227" w:rsidR="0069323A" w:rsidRPr="001909EF" w:rsidRDefault="0069323A" w:rsidP="001E098B">
      <w:pPr>
        <w:pStyle w:val="Akapitzlist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 miesiące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094F115" w14:textId="77777777" w:rsidR="00671C6D" w:rsidRPr="001909EF" w:rsidRDefault="00671C6D" w:rsidP="00671C6D">
      <w:pPr>
        <w:pStyle w:val="Akapitzlist"/>
        <w:spacing w:after="160" w:line="259" w:lineRule="auto"/>
        <w:ind w:left="10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7E8331F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Zgodnie z kodeksem pracy  ile razy w roku kalendarzowym może wystąpić pracownik zatrudniony u danego pracodawcy co najmniej 6 miesięcy z wnioskiem do pracodawcy, złożonym w postaci papierowej lub elektronicznej, o zmianę rodzaju umowy o pracę na umowę o pracę na czas nieokreślony</w:t>
      </w:r>
    </w:p>
    <w:p w14:paraId="31FDFF5C" w14:textId="21339D06" w:rsidR="0069323A" w:rsidRPr="001909EF" w:rsidRDefault="0069323A" w:rsidP="001E098B">
      <w:pPr>
        <w:pStyle w:val="Akapitzlist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 razy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783A30C1" w14:textId="541BB443" w:rsidR="0069323A" w:rsidRPr="001909EF" w:rsidRDefault="0069323A" w:rsidP="001E098B">
      <w:pPr>
        <w:pStyle w:val="Akapitzlist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 razy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6B6D4F20" w14:textId="45DF5A50" w:rsidR="0069323A" w:rsidRPr="001909EF" w:rsidRDefault="0069323A" w:rsidP="001E098B">
      <w:pPr>
        <w:pStyle w:val="Akapitzlist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  raz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476A504" w14:textId="77777777" w:rsidR="00671C6D" w:rsidRPr="001909EF" w:rsidRDefault="00671C6D" w:rsidP="00671C6D">
      <w:pPr>
        <w:pStyle w:val="Akapitzlist"/>
        <w:spacing w:after="160" w:line="259" w:lineRule="auto"/>
        <w:ind w:left="10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B8177EF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Zgodnie z ustawą o systemie ubezpieczeń społecznych należności z tytułu składek ulegają przedawnieniu , licząc od dnia, w którym stały się wymagalne,  po upływie: </w:t>
      </w:r>
    </w:p>
    <w:p w14:paraId="10E2E8AA" w14:textId="09504889" w:rsidR="0069323A" w:rsidRPr="001909EF" w:rsidRDefault="0069323A" w:rsidP="001E098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 lat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C047741" w14:textId="67FB6591" w:rsidR="0069323A" w:rsidRPr="001909EF" w:rsidRDefault="0069323A" w:rsidP="001E098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 lat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025FECFB" w14:textId="3274558D" w:rsidR="0069323A" w:rsidRPr="001909EF" w:rsidRDefault="0069323A" w:rsidP="001E098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 lat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</w:p>
    <w:p w14:paraId="3FD1FC44" w14:textId="77777777" w:rsidR="00671C6D" w:rsidRPr="001909EF" w:rsidRDefault="00671C6D" w:rsidP="00671C6D">
      <w:pPr>
        <w:pStyle w:val="Akapitzlist"/>
        <w:ind w:left="10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513101B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Zgodnie z ustawą o systemie ubezpieczeń społecznych  w jakim terminie od dnia wpływu wniosku, podlegają zwrotowi nienależnie opłacone składki:  </w:t>
      </w:r>
    </w:p>
    <w:p w14:paraId="375DBB1F" w14:textId="3402CEF3" w:rsidR="0069323A" w:rsidRPr="001909EF" w:rsidRDefault="0069323A" w:rsidP="001E098B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14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21E0608A" w14:textId="6ACA1A1D" w:rsidR="0069323A" w:rsidRPr="001909EF" w:rsidRDefault="0069323A" w:rsidP="001E098B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30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37E46487" w14:textId="6658C291" w:rsidR="0069323A" w:rsidRPr="001909EF" w:rsidRDefault="0069323A" w:rsidP="001E098B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60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52C2111" w14:textId="77777777" w:rsidR="00671C6D" w:rsidRPr="001909EF" w:rsidRDefault="00671C6D" w:rsidP="00671C6D">
      <w:pPr>
        <w:pStyle w:val="Akapitzlist"/>
        <w:spacing w:after="160" w:line="259" w:lineRule="auto"/>
        <w:ind w:left="122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FF15314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Zgodnie z kodeksem pracy</w:t>
      </w: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pracodawca może rozwiązać umowę o pracę bez wypowiedzenia gdy pracownik był zatrudniony u niego  krócej niż 6 miesięcy jeżeli  niezdolność  do pracy tego pracownika wskutek choroby trwa:</w:t>
      </w:r>
    </w:p>
    <w:p w14:paraId="780CFD67" w14:textId="762D3493" w:rsidR="0069323A" w:rsidRPr="001909EF" w:rsidRDefault="0069323A" w:rsidP="001E098B">
      <w:pPr>
        <w:pStyle w:val="Akapitzlist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dłużej niż 3 miesiące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25626223" w14:textId="1F228720" w:rsidR="0069323A" w:rsidRPr="001909EF" w:rsidRDefault="0069323A" w:rsidP="001E098B">
      <w:pPr>
        <w:pStyle w:val="Akapitzlist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dłużej niż 1 miesiąc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4A5BAD29" w14:textId="322C77B2" w:rsidR="0069323A" w:rsidRPr="001909EF" w:rsidRDefault="0069323A" w:rsidP="001E098B">
      <w:pPr>
        <w:pStyle w:val="Akapitzlist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dłużej 2 miesiące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786E08EB" w14:textId="77777777" w:rsidR="00671C6D" w:rsidRPr="001909EF" w:rsidRDefault="00671C6D" w:rsidP="00671C6D">
      <w:pPr>
        <w:pStyle w:val="Akapitzlist"/>
        <w:spacing w:after="160" w:line="259" w:lineRule="auto"/>
        <w:ind w:left="10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A0ECC92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umowa o pracę wygasa  z powodu</w:t>
      </w:r>
    </w:p>
    <w:p w14:paraId="64CACC3D" w14:textId="6EF8BA15" w:rsidR="0069323A" w:rsidRPr="001909EF" w:rsidRDefault="0069323A" w:rsidP="001E098B">
      <w:pPr>
        <w:pStyle w:val="Akapitzlist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porozumienia stron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530A19C6" w14:textId="35F85060" w:rsidR="0069323A" w:rsidRPr="001909EF" w:rsidRDefault="0069323A" w:rsidP="001E098B">
      <w:pPr>
        <w:pStyle w:val="Akapitzlist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śmierci pracodawcy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458BA40F" w14:textId="123045E6" w:rsidR="0069323A" w:rsidRPr="001909EF" w:rsidRDefault="0069323A" w:rsidP="001E098B">
      <w:pPr>
        <w:pStyle w:val="Akapitzlist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rozwiązania jej bez wypowiedzenia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7594DEC" w14:textId="77777777" w:rsidR="00671C6D" w:rsidRPr="001909EF" w:rsidRDefault="00671C6D" w:rsidP="00671C6D">
      <w:pPr>
        <w:pStyle w:val="Akapitzlist"/>
        <w:spacing w:after="160" w:line="259" w:lineRule="auto"/>
        <w:ind w:left="10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921B934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Zgodnie z kodeksem pracy  w jakim terminie od dnia ustania przyczyny uchybienia terminu do odwołania się od rozwiązania umowy o pracę pracownik powinien złożyć wniosek  do sądu pracy o przywrócenie terminu:</w:t>
      </w:r>
    </w:p>
    <w:p w14:paraId="3DCACCFE" w14:textId="60F645EB" w:rsidR="0069323A" w:rsidRPr="001909EF" w:rsidRDefault="0069323A" w:rsidP="001E098B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14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8270298" w14:textId="62E53F81" w:rsidR="0069323A" w:rsidRPr="001909EF" w:rsidRDefault="0069323A" w:rsidP="001E098B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7B9B3E48" w14:textId="0FC230BA" w:rsidR="0069323A" w:rsidRPr="001909EF" w:rsidRDefault="0069323A" w:rsidP="001E098B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21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</w:p>
    <w:p w14:paraId="2BCF91AB" w14:textId="77777777" w:rsidR="00671C6D" w:rsidRPr="001909EF" w:rsidRDefault="00671C6D" w:rsidP="00671C6D">
      <w:pPr>
        <w:pStyle w:val="Akapitzlist"/>
        <w:spacing w:after="160" w:line="259" w:lineRule="auto"/>
        <w:ind w:left="10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DB151C9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Zgodnie z kodeksem postępowania cywilnego,  czy jest możliwe zawarcie ugody  w sprawach z zakresu ubezpieczeń społecznych?</w:t>
      </w:r>
    </w:p>
    <w:p w14:paraId="669B48C9" w14:textId="77777777" w:rsidR="0069323A" w:rsidRPr="001909EF" w:rsidRDefault="0069323A" w:rsidP="001E098B">
      <w:pPr>
        <w:pStyle w:val="Akapitzlist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tak</w:t>
      </w:r>
    </w:p>
    <w:p w14:paraId="6E442CC5" w14:textId="77777777" w:rsidR="0069323A" w:rsidRPr="001909EF" w:rsidRDefault="0069323A" w:rsidP="001E098B">
      <w:pPr>
        <w:pStyle w:val="Akapitzlist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nie</w:t>
      </w:r>
    </w:p>
    <w:p w14:paraId="48767508" w14:textId="55141580" w:rsidR="0069323A" w:rsidRPr="001909EF" w:rsidRDefault="0069323A" w:rsidP="001E098B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zależności od woli stron</w:t>
      </w:r>
    </w:p>
    <w:p w14:paraId="7E89BB2B" w14:textId="77777777" w:rsidR="00671C6D" w:rsidRPr="001909EF" w:rsidRDefault="00671C6D" w:rsidP="00671C6D">
      <w:pPr>
        <w:pStyle w:val="Akapitzlis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8EA7002" w14:textId="42D537E4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Zgodnie z kodeksem pracy jaki jest dopuszczalny okres rozliczeniowy przy pracach polegających na dozorze urządzeń lub związanych z częściowym pozostawaniem w pogotowiu do pracy w równoważnym  systemie czasu pracy, w którym jest dopuszczalne przedłużenie dobowego wymiaru czasu pracy, nie więcej jednak niż do 16 godzin</w:t>
      </w:r>
    </w:p>
    <w:p w14:paraId="44D7D3DE" w14:textId="0B7195F1" w:rsidR="0069323A" w:rsidRPr="001909EF" w:rsidRDefault="0069323A" w:rsidP="001E098B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nieprzekraczający 1 miesiąca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6E7CF01" w14:textId="1F91E810" w:rsidR="0069323A" w:rsidRPr="001909EF" w:rsidRDefault="0069323A" w:rsidP="001E098B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nieprzekraczający 3 miesięcy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5FD2DA9" w14:textId="3B80796A" w:rsidR="0069323A" w:rsidRPr="001909EF" w:rsidRDefault="0069323A" w:rsidP="001E098B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nieprzekraczający 6 miesięcy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24F2F29" w14:textId="77777777" w:rsidR="00671C6D" w:rsidRPr="001909EF" w:rsidRDefault="00671C6D" w:rsidP="00671C6D">
      <w:pPr>
        <w:pStyle w:val="Akapitzlist"/>
        <w:spacing w:after="160" w:line="259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CCD6D21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Zgodnie z kodeksem pracy urlop szkoleniowy  w związku przygotowaniem pracy dyplomowej    </w:t>
      </w:r>
    </w:p>
    <w:p w14:paraId="6FE088CA" w14:textId="77777777" w:rsidR="0069323A" w:rsidRPr="001909EF" w:rsidRDefault="0069323A" w:rsidP="00671C6D">
      <w:pPr>
        <w:jc w:val="both"/>
        <w:rPr>
          <w:bCs/>
          <w:color w:val="000000" w:themeColor="text1"/>
        </w:rPr>
      </w:pPr>
      <w:r w:rsidRPr="001909EF">
        <w:rPr>
          <w:bCs/>
          <w:color w:val="000000" w:themeColor="text1"/>
        </w:rPr>
        <w:t xml:space="preserve">               oraz przygotowaniem się i przystąpieniem do egzaminu dyplomowego   wynosi:</w:t>
      </w:r>
    </w:p>
    <w:p w14:paraId="13ECACB0" w14:textId="4ABEBBE9" w:rsidR="0069323A" w:rsidRPr="001909EF" w:rsidRDefault="0069323A" w:rsidP="001E098B">
      <w:pPr>
        <w:pStyle w:val="Akapitzlist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21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0DB3E825" w14:textId="123BC2C6" w:rsidR="004B232A" w:rsidRPr="001909EF" w:rsidRDefault="0069323A" w:rsidP="001E098B">
      <w:pPr>
        <w:pStyle w:val="Akapitzlist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14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7C707ED4" w14:textId="19ABD357" w:rsidR="0069323A" w:rsidRPr="001909EF" w:rsidRDefault="0069323A" w:rsidP="001E098B">
      <w:pPr>
        <w:pStyle w:val="Akapitzlist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 dni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79C1C98B" w14:textId="77777777" w:rsidR="00671C6D" w:rsidRPr="001909EF" w:rsidRDefault="00671C6D" w:rsidP="00671C6D">
      <w:pPr>
        <w:pStyle w:val="Akapitzlist"/>
        <w:ind w:left="10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2BE7724" w14:textId="77777777" w:rsidR="0069323A" w:rsidRPr="001909EF" w:rsidRDefault="0069323A" w:rsidP="001E098B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Zgodnie z kodeksem pracy  dodatek za pracę przypadający w święto jeśli pracodawca nie  </w:t>
      </w:r>
    </w:p>
    <w:p w14:paraId="2F4C3905" w14:textId="2EB2DBFA" w:rsidR="0069323A" w:rsidRPr="001909EF" w:rsidRDefault="0069323A" w:rsidP="00671C6D">
      <w:pPr>
        <w:pStyle w:val="Akapitzlis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udzielił  w zamian czasu wolnego wynosi:</w:t>
      </w:r>
    </w:p>
    <w:p w14:paraId="1A343E40" w14:textId="6FD766ED" w:rsidR="0069323A" w:rsidRPr="001909EF" w:rsidRDefault="0069323A" w:rsidP="001E098B">
      <w:pPr>
        <w:pStyle w:val="Akapitzlist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50 % wynagrodzenia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6144D106" w14:textId="35948663" w:rsidR="0069323A" w:rsidRPr="001909EF" w:rsidRDefault="0069323A" w:rsidP="001E098B">
      <w:pPr>
        <w:pStyle w:val="Akapitzlist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150 % wynagrodzenia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2813C0BA" w14:textId="1DF45A36" w:rsidR="0069323A" w:rsidRPr="001909EF" w:rsidRDefault="0069323A" w:rsidP="001E098B">
      <w:pPr>
        <w:pStyle w:val="Akapitzlist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100 % wynagrodzenia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</w:p>
    <w:p w14:paraId="30370439" w14:textId="77777777" w:rsidR="0069323A" w:rsidRPr="001909EF" w:rsidRDefault="0069323A" w:rsidP="0069323A">
      <w:pPr>
        <w:pStyle w:val="Akapitzlist"/>
        <w:spacing w:after="160" w:line="259" w:lineRule="auto"/>
        <w:ind w:left="10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F64C0C1" w14:textId="098AC6CB" w:rsidR="0069323A" w:rsidRPr="001909EF" w:rsidRDefault="0069323A" w:rsidP="001E098B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 xml:space="preserve">Zgodnie z Kodeksem karnym, okres, na który orzeczono pozbawienie praw publicznych za dane przestępstwo, nie biegnie: </w:t>
      </w:r>
    </w:p>
    <w:p w14:paraId="27435F11" w14:textId="77777777" w:rsidR="0069323A" w:rsidRPr="001909EF" w:rsidRDefault="0069323A" w:rsidP="001E098B">
      <w:pPr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 xml:space="preserve">w czasie odbywania kary pozbawienia wolności za to przestępstwo; </w:t>
      </w:r>
    </w:p>
    <w:p w14:paraId="5EA2D66E" w14:textId="77777777" w:rsidR="0069323A" w:rsidRPr="001909EF" w:rsidRDefault="0069323A" w:rsidP="001E098B">
      <w:pPr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w czasie odbywania kary pozbawienia wolności, chociażby orzeczonej za inne przestępstwo;</w:t>
      </w:r>
    </w:p>
    <w:p w14:paraId="6AC4141D" w14:textId="18E5EC39" w:rsidR="00757422" w:rsidRPr="001909EF" w:rsidRDefault="0069323A" w:rsidP="001E098B">
      <w:pPr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w czasie wykonywania innego środka karnego</w:t>
      </w:r>
      <w:r w:rsidR="00671C6D" w:rsidRPr="001909EF">
        <w:rPr>
          <w:bCs/>
          <w:color w:val="000000" w:themeColor="text1"/>
          <w:lang w:eastAsia="en-US"/>
        </w:rPr>
        <w:t>.</w:t>
      </w:r>
    </w:p>
    <w:p w14:paraId="47A401FA" w14:textId="49DD8C3D" w:rsidR="00671C6D" w:rsidRPr="001909EF" w:rsidRDefault="00671C6D" w:rsidP="00671C6D">
      <w:pPr>
        <w:shd w:val="clear" w:color="auto" w:fill="FFFFFF"/>
        <w:autoSpaceDE w:val="0"/>
        <w:autoSpaceDN w:val="0"/>
        <w:adjustRightInd w:val="0"/>
        <w:ind w:left="984"/>
        <w:jc w:val="both"/>
        <w:rPr>
          <w:bCs/>
          <w:color w:val="000000" w:themeColor="text1"/>
          <w:lang w:eastAsia="en-US"/>
        </w:rPr>
      </w:pPr>
    </w:p>
    <w:p w14:paraId="5359CDDC" w14:textId="373B58A0" w:rsidR="004B232A" w:rsidRPr="001909EF" w:rsidRDefault="004B232A" w:rsidP="00671C6D">
      <w:pPr>
        <w:shd w:val="clear" w:color="auto" w:fill="FFFFFF"/>
        <w:autoSpaceDE w:val="0"/>
        <w:autoSpaceDN w:val="0"/>
        <w:adjustRightInd w:val="0"/>
        <w:ind w:left="984"/>
        <w:jc w:val="both"/>
        <w:rPr>
          <w:bCs/>
          <w:color w:val="000000" w:themeColor="text1"/>
          <w:lang w:eastAsia="en-US"/>
        </w:rPr>
      </w:pPr>
    </w:p>
    <w:p w14:paraId="7AC3B495" w14:textId="40F3BCC1" w:rsidR="004B232A" w:rsidRPr="001909EF" w:rsidRDefault="004B232A" w:rsidP="00671C6D">
      <w:pPr>
        <w:shd w:val="clear" w:color="auto" w:fill="FFFFFF"/>
        <w:autoSpaceDE w:val="0"/>
        <w:autoSpaceDN w:val="0"/>
        <w:adjustRightInd w:val="0"/>
        <w:ind w:left="984"/>
        <w:jc w:val="both"/>
        <w:rPr>
          <w:bCs/>
          <w:color w:val="000000" w:themeColor="text1"/>
          <w:lang w:eastAsia="en-US"/>
        </w:rPr>
      </w:pPr>
    </w:p>
    <w:p w14:paraId="619CFF12" w14:textId="5EF22FE7" w:rsidR="004B232A" w:rsidRPr="001909EF" w:rsidRDefault="004B232A" w:rsidP="00671C6D">
      <w:pPr>
        <w:shd w:val="clear" w:color="auto" w:fill="FFFFFF"/>
        <w:autoSpaceDE w:val="0"/>
        <w:autoSpaceDN w:val="0"/>
        <w:adjustRightInd w:val="0"/>
        <w:ind w:left="984"/>
        <w:jc w:val="both"/>
        <w:rPr>
          <w:bCs/>
          <w:color w:val="000000" w:themeColor="text1"/>
          <w:lang w:eastAsia="en-US"/>
        </w:rPr>
      </w:pPr>
    </w:p>
    <w:p w14:paraId="0C248D02" w14:textId="71424244" w:rsidR="004B232A" w:rsidRPr="001909EF" w:rsidRDefault="004B232A" w:rsidP="00671C6D">
      <w:pPr>
        <w:shd w:val="clear" w:color="auto" w:fill="FFFFFF"/>
        <w:autoSpaceDE w:val="0"/>
        <w:autoSpaceDN w:val="0"/>
        <w:adjustRightInd w:val="0"/>
        <w:ind w:left="984"/>
        <w:jc w:val="both"/>
        <w:rPr>
          <w:bCs/>
          <w:color w:val="000000" w:themeColor="text1"/>
          <w:lang w:eastAsia="en-US"/>
        </w:rPr>
      </w:pPr>
    </w:p>
    <w:p w14:paraId="15F521EB" w14:textId="77777777" w:rsidR="004B232A" w:rsidRPr="001909EF" w:rsidRDefault="004B232A" w:rsidP="00671C6D">
      <w:pPr>
        <w:shd w:val="clear" w:color="auto" w:fill="FFFFFF"/>
        <w:autoSpaceDE w:val="0"/>
        <w:autoSpaceDN w:val="0"/>
        <w:adjustRightInd w:val="0"/>
        <w:ind w:left="984"/>
        <w:jc w:val="both"/>
        <w:rPr>
          <w:bCs/>
          <w:color w:val="000000" w:themeColor="text1"/>
          <w:lang w:eastAsia="en-US"/>
        </w:rPr>
      </w:pPr>
    </w:p>
    <w:p w14:paraId="01C53665" w14:textId="3CBEB5E7" w:rsidR="0069323A" w:rsidRPr="001909EF" w:rsidRDefault="0069323A" w:rsidP="001E098B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lastRenderedPageBreak/>
        <w:t xml:space="preserve">Zgodnie z Kodeksem karnym, stan nietrzeźwości uzasadniający skazanie za przestępstwo z art. 178a § 1 k.k. oznacza, że: </w:t>
      </w:r>
    </w:p>
    <w:p w14:paraId="05C48375" w14:textId="77777777" w:rsidR="0069323A" w:rsidRPr="001909EF" w:rsidRDefault="0069323A" w:rsidP="001E098B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zawartość alkoholu we krwi przekracza 0,2 promila albo prowadzi do stężenia przekraczającego tę wartość lub zawartość alkoholu w 1 dm3 wydychanego powietrza przekracza 0,10 mg albo prowadzi do stężenia przekraczającego tę wartość;</w:t>
      </w:r>
    </w:p>
    <w:p w14:paraId="5EF3CCE9" w14:textId="77777777" w:rsidR="0069323A" w:rsidRPr="001909EF" w:rsidRDefault="0069323A" w:rsidP="001E098B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zawartość alkoholu we krwi przekracza 0,4 promila albo prowadzi do stężenia przekraczającego tę wartość lub zawartość alkoholu w 1 dm3 wydychanego powietrza przekracza 0,20 mg albo prowadzi do stężenia przekraczającego tę wartość;</w:t>
      </w:r>
    </w:p>
    <w:p w14:paraId="4C68FD8A" w14:textId="19716EDE" w:rsidR="00757422" w:rsidRPr="001909EF" w:rsidRDefault="0069323A" w:rsidP="001E098B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zawartość alkoholu we krwi przekracza 0,5 promila albo prowadzi do stężenia przekraczającego tę wartość lub zawartość alkoholu w 1 dm3 wydychanego powietrza przekracza 0,25 mg albo prowadzi do stężenia przekraczającego tę wartość</w:t>
      </w:r>
      <w:r w:rsidR="001E098B">
        <w:rPr>
          <w:bCs/>
          <w:color w:val="000000" w:themeColor="text1"/>
          <w:lang w:eastAsia="en-US"/>
        </w:rPr>
        <w:t>.</w:t>
      </w:r>
    </w:p>
    <w:p w14:paraId="6E19C205" w14:textId="77777777" w:rsidR="004B232A" w:rsidRPr="001909EF" w:rsidRDefault="004B232A" w:rsidP="004B232A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jc w:val="both"/>
        <w:rPr>
          <w:bCs/>
          <w:color w:val="000000" w:themeColor="text1"/>
          <w:lang w:eastAsia="en-US"/>
        </w:rPr>
      </w:pPr>
    </w:p>
    <w:p w14:paraId="55781E17" w14:textId="6CA31329" w:rsidR="0069323A" w:rsidRPr="001909EF" w:rsidRDefault="0069323A" w:rsidP="001E098B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Zgodnie z Kodeksem karnym, w razie skazania za udział w bójce lub pobiciu (art. 158 k.k. lub w art. 159 k.k.), sąd orzeka, a jeżeli jednocześnie orzeka obowiązek lub nawiązkę na podstawie art. 46 § 1 lub 2 k.k., to może orzec, świadczenie pieniężne wymienione w art. 39 pkt 7 k.k. na rzecz Funduszu Pomocy Pokrzywdzonym oraz Pomocy Postpenitencjarnej w wysokości:</w:t>
      </w:r>
    </w:p>
    <w:p w14:paraId="7C272D52" w14:textId="77777777" w:rsidR="0069323A" w:rsidRPr="001909EF" w:rsidRDefault="0069323A" w:rsidP="001E098B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co najmniej 5.000 złotych;</w:t>
      </w:r>
    </w:p>
    <w:p w14:paraId="0602A23F" w14:textId="77777777" w:rsidR="0069323A" w:rsidRPr="001909EF" w:rsidRDefault="0069323A" w:rsidP="001E098B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co najmniej 10.000 złotych;</w:t>
      </w:r>
    </w:p>
    <w:p w14:paraId="2E16FD51" w14:textId="77777777" w:rsidR="0069323A" w:rsidRPr="001909EF" w:rsidRDefault="0069323A" w:rsidP="001E098B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co najmniej 20.000 złotych;</w:t>
      </w:r>
    </w:p>
    <w:p w14:paraId="4300C945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1036226D" w14:textId="77777777" w:rsidR="0069323A" w:rsidRPr="001909EF" w:rsidRDefault="0069323A" w:rsidP="001E09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Jeżeli przed zamknięciem przewodu sądowego pokrzywdzony złożył wniosek o orzeczenie obowiązku naprawienia szkody przez oskarżonego, wysokość tej szkody jest bezsporna i nie została naprawiona, to sąd:</w:t>
      </w:r>
    </w:p>
    <w:p w14:paraId="07D37895" w14:textId="77777777" w:rsidR="0069323A" w:rsidRPr="001909EF" w:rsidRDefault="0069323A" w:rsidP="001E098B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nie jest związany tym wnioskiem i może nie orzekać obowiązku naprawienia szkody lub nawiązki z tego tytułu;</w:t>
      </w:r>
    </w:p>
    <w:p w14:paraId="56C59C75" w14:textId="77777777" w:rsidR="0069323A" w:rsidRPr="001909EF" w:rsidRDefault="0069323A" w:rsidP="001E098B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jest związany tym wnioskiem i obligatoryjnie musi orzec obowiązek naprawienia szkody lub nawiązkę z tego tytułu;</w:t>
      </w:r>
    </w:p>
    <w:p w14:paraId="76101469" w14:textId="192A642B" w:rsidR="0069323A" w:rsidRPr="001909EF" w:rsidRDefault="0069323A" w:rsidP="001E098B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nie jest w ogóle uprawniony do orzekania obowiązku naprawienia szkody, gdyż właściwy jest sąd cywilny</w:t>
      </w:r>
      <w:r w:rsidR="001E098B">
        <w:rPr>
          <w:bCs/>
          <w:color w:val="000000" w:themeColor="text1"/>
          <w:lang w:eastAsia="en-US"/>
        </w:rPr>
        <w:t>.</w:t>
      </w:r>
    </w:p>
    <w:p w14:paraId="61EBED2A" w14:textId="6D3523D6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2AACC9D8" w14:textId="41C83C1C" w:rsidR="004B232A" w:rsidRPr="001909EF" w:rsidRDefault="004B232A" w:rsidP="0069323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39B6D371" w14:textId="77777777" w:rsidR="004B232A" w:rsidRPr="001909EF" w:rsidRDefault="004B232A" w:rsidP="0069323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32F64930" w14:textId="77777777" w:rsidR="0069323A" w:rsidRPr="001909EF" w:rsidRDefault="0069323A" w:rsidP="001E09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lastRenderedPageBreak/>
        <w:t>Wobec skazanego zapadły trzy wyroki skazujące, a w każdym z nich został uznany za winnego jednego przestępstwa i wymierzono za nie w każdym wypadku po 3 lata pozbawienia wolności. O ile wszystkie te przestępstwa sprawca popełnił przed wydaniem pierwszego chronologicznie wyroku skazującego, to czy wyrokiem łącznym można wymierzyć mu karę łączną:</w:t>
      </w:r>
    </w:p>
    <w:p w14:paraId="2D62839D" w14:textId="77777777" w:rsidR="0069323A" w:rsidRPr="001909EF" w:rsidRDefault="0069323A" w:rsidP="001E098B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od 3 lat pozbawienia wolności do 9 lat pozbawienia wolności;</w:t>
      </w:r>
    </w:p>
    <w:p w14:paraId="375FFB52" w14:textId="77777777" w:rsidR="0069323A" w:rsidRPr="001909EF" w:rsidRDefault="0069323A" w:rsidP="001E098B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od 3 lat i jednego miesiąca pozbawienia wolności do 9 lat pozbawienia wolności;</w:t>
      </w:r>
    </w:p>
    <w:p w14:paraId="78395818" w14:textId="750989F2" w:rsidR="0069323A" w:rsidRPr="001909EF" w:rsidRDefault="0069323A" w:rsidP="001E098B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wyłącznie w wymiarze 9 lat pozbawienia wolności</w:t>
      </w:r>
      <w:r w:rsidR="001E098B">
        <w:rPr>
          <w:bCs/>
          <w:color w:val="000000" w:themeColor="text1"/>
          <w:lang w:eastAsia="en-US"/>
        </w:rPr>
        <w:t>.</w:t>
      </w:r>
    </w:p>
    <w:p w14:paraId="4AF592B8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4A0A7C61" w14:textId="77777777" w:rsidR="0069323A" w:rsidRPr="001909EF" w:rsidRDefault="0069323A" w:rsidP="001E09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 xml:space="preserve">Zgodnie z Kodeksem karnym, nie jest karalne przygotowanie do przestępstwa: </w:t>
      </w:r>
    </w:p>
    <w:p w14:paraId="0F525F6C" w14:textId="7861472F" w:rsidR="0069323A" w:rsidRPr="001909EF" w:rsidRDefault="0069323A" w:rsidP="001E098B">
      <w:pPr>
        <w:pStyle w:val="Akapitzlist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kradzieży z włamaniem;</w:t>
      </w:r>
    </w:p>
    <w:p w14:paraId="66235EF7" w14:textId="320AA5A5" w:rsidR="0069323A" w:rsidRPr="001909EF" w:rsidRDefault="0069323A" w:rsidP="001E098B">
      <w:pPr>
        <w:pStyle w:val="Akapitzlist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podrabiania pieniędzy;</w:t>
      </w:r>
    </w:p>
    <w:p w14:paraId="55BF8C9D" w14:textId="71127CAE" w:rsidR="0069323A" w:rsidRPr="001909EF" w:rsidRDefault="0069323A" w:rsidP="001E098B">
      <w:pPr>
        <w:pStyle w:val="Akapitzlist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zabójstwa</w:t>
      </w:r>
      <w:r w:rsidR="001E09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.</w:t>
      </w:r>
    </w:p>
    <w:p w14:paraId="308235FB" w14:textId="77777777" w:rsidR="0069323A" w:rsidRPr="001909EF" w:rsidRDefault="0069323A" w:rsidP="001E09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Zgodnie z Kodeksem postępowania karnego, wniosek o wyłączenie sędziego od rozpoznania sprawy oparty na tych samych podstawach faktycznych co wniosek wcześniej rozpoznany:</w:t>
      </w:r>
    </w:p>
    <w:p w14:paraId="0E5DBAF3" w14:textId="35979E2F" w:rsidR="0069323A" w:rsidRPr="001909EF" w:rsidRDefault="0069323A" w:rsidP="001E098B">
      <w:pPr>
        <w:pStyle w:val="Akapitzlist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pozostawia się bez rozpoznania</w:t>
      </w:r>
      <w:r w:rsidR="001E09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;</w:t>
      </w:r>
    </w:p>
    <w:p w14:paraId="3CD9AACF" w14:textId="4B37C193" w:rsidR="0069323A" w:rsidRPr="001909EF" w:rsidRDefault="0069323A" w:rsidP="001E098B">
      <w:pPr>
        <w:pStyle w:val="Akapitzlist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podlega odrzuceniu</w:t>
      </w:r>
      <w:r w:rsidR="001E09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;</w:t>
      </w:r>
    </w:p>
    <w:p w14:paraId="057A9953" w14:textId="5DC70709" w:rsidR="0069323A" w:rsidRPr="001909EF" w:rsidRDefault="0069323A" w:rsidP="001E098B">
      <w:pPr>
        <w:pStyle w:val="Akapitzlist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przedkłada się sędziemu, którego wniosek dotyczy; wniosek podlega rozpoznaniu, jeżeli sędzia nie złoży w terminie 7 dni oświadczenia o wyłączeniu od rozpoznania sprawy</w:t>
      </w:r>
      <w:r w:rsidR="001E09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.</w:t>
      </w:r>
    </w:p>
    <w:p w14:paraId="4B58BBA0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2622C4FD" w14:textId="77777777" w:rsidR="0069323A" w:rsidRPr="001909EF" w:rsidRDefault="0069323A" w:rsidP="001E09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Zgodnie z Kodeksem postępowania karnego, jeżeli postępowanie przygotowawcze zakończyło się w formie dochodzenia, niestawiennictwo oskarżyciela publicznego na rozprawie:</w:t>
      </w:r>
    </w:p>
    <w:p w14:paraId="1EEBEBEA" w14:textId="57B36D64" w:rsidR="0069323A" w:rsidRPr="001909EF" w:rsidRDefault="0069323A" w:rsidP="001E098B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tamuje jej tok, ponieważ udział oskarżyciela publicznego w rozprawie jest obowiązkowy</w:t>
      </w:r>
      <w:r w:rsidR="001E098B">
        <w:rPr>
          <w:bCs/>
          <w:color w:val="000000" w:themeColor="text1"/>
          <w:lang w:eastAsia="en-US"/>
        </w:rPr>
        <w:t>;</w:t>
      </w:r>
    </w:p>
    <w:p w14:paraId="5BC626DB" w14:textId="3E58BEC2" w:rsidR="0069323A" w:rsidRPr="001909EF" w:rsidRDefault="0069323A" w:rsidP="001E098B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nie tamuje jej toku, ale przewodniczący lub sąd mogą uznać obecność oskarżyciela publicznego za obowiązkową</w:t>
      </w:r>
      <w:r w:rsidR="001E098B">
        <w:rPr>
          <w:bCs/>
          <w:color w:val="000000" w:themeColor="text1"/>
          <w:lang w:eastAsia="en-US"/>
        </w:rPr>
        <w:t>;</w:t>
      </w:r>
    </w:p>
    <w:p w14:paraId="5BCD77E6" w14:textId="69130457" w:rsidR="0069323A" w:rsidRPr="001909EF" w:rsidRDefault="0069323A" w:rsidP="001E098B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nie tamuje jej toku, a przewodniczący ani sąd nie mogą uznać obecności oskarżyciela publicznego za obowiązkową</w:t>
      </w:r>
      <w:r w:rsidR="001E098B">
        <w:rPr>
          <w:bCs/>
          <w:color w:val="000000" w:themeColor="text1"/>
          <w:lang w:eastAsia="en-US"/>
        </w:rPr>
        <w:t>.</w:t>
      </w:r>
    </w:p>
    <w:p w14:paraId="747D924F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1062E626" w14:textId="77777777" w:rsidR="0069323A" w:rsidRPr="001909EF" w:rsidRDefault="0069323A" w:rsidP="001E09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Zgodnie z Kodeksem postępowania karnego, jeżeli po rozpoczęciu przewodu sądowego, sąd kategorycznie wykluczył, że oskarżony popełnił zarzucone przestępstwo, to:</w:t>
      </w:r>
    </w:p>
    <w:p w14:paraId="3D24069D" w14:textId="77777777" w:rsidR="0069323A" w:rsidRPr="001909EF" w:rsidRDefault="0069323A" w:rsidP="001E098B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zwraca prokuratorowi akt oskarżenia;</w:t>
      </w:r>
    </w:p>
    <w:p w14:paraId="2A1E8177" w14:textId="77777777" w:rsidR="0069323A" w:rsidRPr="001909EF" w:rsidRDefault="0069323A" w:rsidP="001E098B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umarza postępowanie;</w:t>
      </w:r>
    </w:p>
    <w:p w14:paraId="6F597032" w14:textId="5671C487" w:rsidR="0069323A" w:rsidRPr="001909EF" w:rsidRDefault="0069323A" w:rsidP="001E098B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uniewinnia oskarżonego</w:t>
      </w:r>
      <w:r w:rsidR="001E098B">
        <w:rPr>
          <w:bCs/>
          <w:color w:val="000000" w:themeColor="text1"/>
          <w:lang w:eastAsia="en-US"/>
        </w:rPr>
        <w:t>.</w:t>
      </w:r>
    </w:p>
    <w:p w14:paraId="55321052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7CA8F1D4" w14:textId="77777777" w:rsidR="0069323A" w:rsidRPr="001909EF" w:rsidRDefault="0069323A" w:rsidP="001E09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lastRenderedPageBreak/>
        <w:t>Zgodnie z Kodeksem postępowania karnego, jeżeli żona oskarżonego przed rozpoczęciem pierwszego zeznania w postępowaniu sądowym oświadczyła, że chce skorzystać z prawa do odmowy zeznań, jako osoba najbliższa (art. 182 k.p.k.), to jej zeznania złożone uprzednio w postępowaniu przygotowawczym:</w:t>
      </w:r>
    </w:p>
    <w:p w14:paraId="78523C43" w14:textId="77777777" w:rsidR="0069323A" w:rsidRPr="001909EF" w:rsidRDefault="0069323A" w:rsidP="001E098B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mogą służyć za dowód i być odtworzone podczas rozprawy;</w:t>
      </w:r>
    </w:p>
    <w:p w14:paraId="05DEC610" w14:textId="77777777" w:rsidR="0069323A" w:rsidRPr="001909EF" w:rsidRDefault="0069323A" w:rsidP="001E098B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nie mogą służyć za dowód i nie mogą być odtworzone podczas rozprawy;</w:t>
      </w:r>
    </w:p>
    <w:p w14:paraId="4E6100B2" w14:textId="775D2157" w:rsidR="0069323A" w:rsidRPr="001909EF" w:rsidRDefault="0069323A" w:rsidP="001E098B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jeżeli sąd uzna, że jest to konieczne ze względu na dobro wymiaru sprawiedliwości, to mogą służyć za dowód i być odtworzone podczas rozprawy</w:t>
      </w:r>
      <w:r w:rsidR="001E098B">
        <w:rPr>
          <w:bCs/>
          <w:color w:val="000000" w:themeColor="text1"/>
          <w:lang w:eastAsia="en-US"/>
        </w:rPr>
        <w:t>.</w:t>
      </w:r>
    </w:p>
    <w:p w14:paraId="283364A5" w14:textId="77777777" w:rsidR="004B232A" w:rsidRPr="001909EF" w:rsidRDefault="004B232A" w:rsidP="004B232A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jc w:val="both"/>
        <w:rPr>
          <w:bCs/>
          <w:color w:val="000000" w:themeColor="text1"/>
          <w:lang w:eastAsia="en-US"/>
        </w:rPr>
      </w:pPr>
    </w:p>
    <w:p w14:paraId="7C668198" w14:textId="7728FB0D" w:rsidR="0069323A" w:rsidRPr="001909EF" w:rsidRDefault="0069323A" w:rsidP="001E098B">
      <w:pPr>
        <w:pStyle w:val="Akapitzlist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  <w:t>Zgodnie z Kodeksem postępowania karnego, środek odwoławczy wniesiony na korzyść oskarżonego:</w:t>
      </w:r>
    </w:p>
    <w:p w14:paraId="03869E48" w14:textId="69170915" w:rsidR="0069323A" w:rsidRPr="001909EF" w:rsidRDefault="0069323A" w:rsidP="001E098B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może być cofnięty bez jego zgody, jeżeli został wniesiony przez prokuratora</w:t>
      </w:r>
      <w:r w:rsidR="001E098B">
        <w:rPr>
          <w:bCs/>
          <w:color w:val="000000" w:themeColor="text1"/>
          <w:lang w:eastAsia="en-US"/>
        </w:rPr>
        <w:t>;</w:t>
      </w:r>
    </w:p>
    <w:p w14:paraId="5E72DF96" w14:textId="0F01790C" w:rsidR="0069323A" w:rsidRPr="001909EF" w:rsidRDefault="0069323A" w:rsidP="001E098B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może być cofnięty bez jego zgody, jeżeli został wniesiony tylko w zakresie orzeczenia o karze przez obrońcę</w:t>
      </w:r>
      <w:r w:rsidR="001E098B">
        <w:rPr>
          <w:bCs/>
          <w:color w:val="000000" w:themeColor="text1"/>
          <w:lang w:eastAsia="en-US"/>
        </w:rPr>
        <w:t>;</w:t>
      </w:r>
    </w:p>
    <w:p w14:paraId="3DD87034" w14:textId="3F1DC101" w:rsidR="004B232A" w:rsidRPr="001909EF" w:rsidRDefault="0069323A" w:rsidP="001E098B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nie może być cofnięty bez jego zgody</w:t>
      </w:r>
      <w:r w:rsidR="001E098B">
        <w:rPr>
          <w:bCs/>
          <w:color w:val="000000" w:themeColor="text1"/>
          <w:lang w:eastAsia="en-US"/>
        </w:rPr>
        <w:t>.</w:t>
      </w:r>
    </w:p>
    <w:p w14:paraId="6D1510DD" w14:textId="77777777" w:rsidR="004B232A" w:rsidRPr="001909EF" w:rsidRDefault="004B232A" w:rsidP="004B232A">
      <w:pPr>
        <w:shd w:val="clear" w:color="auto" w:fill="FFFFFF"/>
        <w:autoSpaceDE w:val="0"/>
        <w:autoSpaceDN w:val="0"/>
        <w:adjustRightInd w:val="0"/>
        <w:spacing w:line="360" w:lineRule="auto"/>
        <w:ind w:left="1068"/>
        <w:jc w:val="both"/>
        <w:rPr>
          <w:bCs/>
          <w:color w:val="000000" w:themeColor="text1"/>
          <w:lang w:eastAsia="en-US"/>
        </w:rPr>
      </w:pPr>
    </w:p>
    <w:p w14:paraId="74AF52E3" w14:textId="5CEA69BC" w:rsidR="0069323A" w:rsidRPr="001909EF" w:rsidRDefault="004B232A" w:rsidP="001909EF">
      <w:pPr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bCs/>
          <w:color w:val="000000" w:themeColor="text1"/>
          <w:lang w:eastAsia="en-US"/>
        </w:rPr>
      </w:pPr>
      <w:r w:rsidRPr="001909EF">
        <w:rPr>
          <w:bCs/>
          <w:color w:val="000000" w:themeColor="text1"/>
          <w:lang w:eastAsia="en-US"/>
        </w:rPr>
        <w:t>24.</w:t>
      </w:r>
      <w:r w:rsidR="00757422" w:rsidRPr="001909EF">
        <w:rPr>
          <w:bCs/>
          <w:color w:val="000000" w:themeColor="text1"/>
          <w:lang w:eastAsia="en-US"/>
        </w:rPr>
        <w:t xml:space="preserve"> </w:t>
      </w:r>
      <w:r w:rsidR="0069323A" w:rsidRPr="001909EF">
        <w:rPr>
          <w:bCs/>
          <w:color w:val="000000" w:themeColor="text1"/>
          <w:lang w:eastAsia="en-US"/>
        </w:rPr>
        <w:t xml:space="preserve"> Zgodnie z Kodeksem postępowania karnego, niezależnie od granic zaskarżenia i podniesionych zarzutów oraz wpływu uchybienia na treść orzeczenia, sąd odwoławczy na posiedzeniu uchyla zaskarżone orzeczenie, jeżeli sprawę rozpoznano podczas nieobecności oskarżonego, którego obecność była obowiązkowa, przy czym uchylenie orzeczenia jedynie z tego powodu może nastąpić:</w:t>
      </w:r>
    </w:p>
    <w:p w14:paraId="050BC5E8" w14:textId="6222C000" w:rsidR="0069323A" w:rsidRPr="001909EF" w:rsidRDefault="0069323A" w:rsidP="001E098B">
      <w:pPr>
        <w:pStyle w:val="Akapitzlist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  <w:t>zarówno na korzyść, jak i na niekorzyść oskarżonego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  <w:t>;</w:t>
      </w:r>
    </w:p>
    <w:p w14:paraId="2FB3F713" w14:textId="4E38C634" w:rsidR="0069323A" w:rsidRPr="001909EF" w:rsidRDefault="0069323A" w:rsidP="001E098B">
      <w:pPr>
        <w:pStyle w:val="Akapitzlist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  <w:t>tylko na korzyść oskarżonego</w:t>
      </w:r>
      <w:r w:rsidR="001E098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  <w:t>;</w:t>
      </w:r>
    </w:p>
    <w:p w14:paraId="261A6AAC" w14:textId="0D8CE093" w:rsidR="0069323A" w:rsidRPr="001909EF" w:rsidRDefault="0069323A" w:rsidP="001E098B">
      <w:pPr>
        <w:pStyle w:val="Akapitzlist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1909EF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en-US"/>
        </w:rPr>
        <w:t>tylko na niekorzyść oskarżonego.</w:t>
      </w:r>
    </w:p>
    <w:p w14:paraId="28FEF255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25. Powód wysłał pismem poleconym pozew w dniu 4 maja. Pozew wpłynął do Sądu 5 maja, ale się okazało, że na pozwie brak jest podpisu. Sąd zobowiązał powoda do uzupełnienia tego braku formalnego w terminie 7 dni. Powód w dniu 12 maja ponownie wysłał pismem poleconym uzupełniony pozew, który wpłynął do Sądu w dniu 15 maja. Datą wniesienia powództwa będzie:</w:t>
      </w:r>
    </w:p>
    <w:p w14:paraId="57A36C30" w14:textId="1414BB54" w:rsidR="001909EF" w:rsidRPr="001909EF" w:rsidRDefault="001909EF" w:rsidP="001E098B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4 maja</w:t>
      </w:r>
      <w:r w:rsidR="001E098B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</w:p>
    <w:p w14:paraId="337A47F4" w14:textId="3DD32F85" w:rsidR="001909EF" w:rsidRPr="001909EF" w:rsidRDefault="001909EF" w:rsidP="001E098B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5 maja</w:t>
      </w:r>
      <w:r w:rsidR="001E098B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</w:p>
    <w:p w14:paraId="78E8A7A2" w14:textId="4A5B8CA8" w:rsidR="001909EF" w:rsidRDefault="001909EF" w:rsidP="001E098B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15 maja.</w:t>
      </w:r>
    </w:p>
    <w:p w14:paraId="352FE3EC" w14:textId="12D2E230" w:rsidR="001909EF" w:rsidRDefault="001909EF" w:rsidP="001909EF">
      <w:pPr>
        <w:spacing w:line="360" w:lineRule="auto"/>
        <w:jc w:val="both"/>
        <w:rPr>
          <w:bCs/>
          <w:kern w:val="2"/>
        </w:rPr>
      </w:pPr>
    </w:p>
    <w:p w14:paraId="3F3C0F9F" w14:textId="7E302BD6" w:rsidR="001909EF" w:rsidRDefault="001909EF" w:rsidP="001909EF">
      <w:pPr>
        <w:spacing w:line="360" w:lineRule="auto"/>
        <w:jc w:val="both"/>
        <w:rPr>
          <w:bCs/>
          <w:kern w:val="2"/>
        </w:rPr>
      </w:pPr>
    </w:p>
    <w:p w14:paraId="190EB239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</w:p>
    <w:p w14:paraId="1073E9F7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lastRenderedPageBreak/>
        <w:t xml:space="preserve">26. </w:t>
      </w:r>
      <w:bookmarkStart w:id="0" w:name="_Hlk183533822"/>
      <w:r w:rsidRPr="001909EF">
        <w:rPr>
          <w:bCs/>
          <w:kern w:val="2"/>
        </w:rPr>
        <w:t>Zdolność procesowa to:</w:t>
      </w:r>
    </w:p>
    <w:p w14:paraId="49E362CD" w14:textId="5964FCBF" w:rsidR="001909EF" w:rsidRPr="001909EF" w:rsidRDefault="001909EF" w:rsidP="001E098B">
      <w:pPr>
        <w:numPr>
          <w:ilvl w:val="0"/>
          <w:numId w:val="27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zdolność do występowania w sądowym procesie cywilnym w charakterze strony</w:t>
      </w:r>
      <w:r w:rsidR="001E098B">
        <w:rPr>
          <w:bCs/>
          <w:kern w:val="2"/>
        </w:rPr>
        <w:t>;</w:t>
      </w:r>
    </w:p>
    <w:p w14:paraId="3352238C" w14:textId="6324B73B" w:rsidR="001909EF" w:rsidRPr="001909EF" w:rsidRDefault="001909EF" w:rsidP="001E098B">
      <w:pPr>
        <w:numPr>
          <w:ilvl w:val="0"/>
          <w:numId w:val="27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zdolność do podejmowania czynności procesowych</w:t>
      </w:r>
      <w:r w:rsidR="001E098B">
        <w:rPr>
          <w:bCs/>
          <w:kern w:val="2"/>
        </w:rPr>
        <w:t>;</w:t>
      </w:r>
    </w:p>
    <w:p w14:paraId="712A79DD" w14:textId="77777777" w:rsidR="001909EF" w:rsidRPr="001909EF" w:rsidRDefault="001909EF" w:rsidP="001E098B">
      <w:pPr>
        <w:numPr>
          <w:ilvl w:val="0"/>
          <w:numId w:val="27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zdolność do dokonywania skutecznie czynności prawnych we własnym imieniu.</w:t>
      </w:r>
    </w:p>
    <w:bookmarkEnd w:id="0"/>
    <w:p w14:paraId="0592027C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</w:p>
    <w:p w14:paraId="4D75F170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27. Odmówić składania zeznań (w charakterze świadka) w procesie cywilnym może:</w:t>
      </w:r>
    </w:p>
    <w:p w14:paraId="40BC3DD7" w14:textId="2B493043" w:rsidR="001909EF" w:rsidRPr="001909EF" w:rsidRDefault="001909EF" w:rsidP="001E098B">
      <w:pPr>
        <w:numPr>
          <w:ilvl w:val="0"/>
          <w:numId w:val="28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stryj powoda</w:t>
      </w:r>
      <w:r w:rsidR="001E098B">
        <w:rPr>
          <w:bCs/>
          <w:kern w:val="2"/>
        </w:rPr>
        <w:t>;</w:t>
      </w:r>
    </w:p>
    <w:p w14:paraId="109D2704" w14:textId="2807553A" w:rsidR="001909EF" w:rsidRPr="001909EF" w:rsidRDefault="001909EF" w:rsidP="001E098B">
      <w:pPr>
        <w:numPr>
          <w:ilvl w:val="0"/>
          <w:numId w:val="28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kuzyn powoda</w:t>
      </w:r>
      <w:r w:rsidR="001E098B">
        <w:rPr>
          <w:bCs/>
          <w:kern w:val="2"/>
        </w:rPr>
        <w:t>;</w:t>
      </w:r>
    </w:p>
    <w:p w14:paraId="77EE89FC" w14:textId="77777777" w:rsidR="001909EF" w:rsidRPr="001909EF" w:rsidRDefault="001909EF" w:rsidP="001E098B">
      <w:pPr>
        <w:numPr>
          <w:ilvl w:val="0"/>
          <w:numId w:val="28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pradziadek powoda.</w:t>
      </w:r>
    </w:p>
    <w:p w14:paraId="153077F8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</w:p>
    <w:p w14:paraId="7F771C76" w14:textId="77777777" w:rsidR="001909EF" w:rsidRPr="001909EF" w:rsidRDefault="001909EF" w:rsidP="001909EF">
      <w:pPr>
        <w:spacing w:line="360" w:lineRule="auto"/>
        <w:jc w:val="both"/>
        <w:rPr>
          <w:bCs/>
        </w:rPr>
      </w:pPr>
      <w:r w:rsidRPr="001909EF">
        <w:rPr>
          <w:bCs/>
        </w:rPr>
        <w:t>28. Fakt notoryjny to:</w:t>
      </w:r>
    </w:p>
    <w:p w14:paraId="178BE3FD" w14:textId="663B443D" w:rsidR="001909EF" w:rsidRPr="001909EF" w:rsidRDefault="001909EF" w:rsidP="001E098B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09EF">
        <w:rPr>
          <w:rFonts w:ascii="Times New Roman" w:hAnsi="Times New Roman" w:cs="Times New Roman"/>
          <w:bCs/>
          <w:sz w:val="24"/>
          <w:szCs w:val="24"/>
        </w:rPr>
        <w:t>fakt znany sądowi z urzędu</w:t>
      </w:r>
      <w:r w:rsidR="001E098B">
        <w:rPr>
          <w:rFonts w:ascii="Times New Roman" w:hAnsi="Times New Roman" w:cs="Times New Roman"/>
          <w:bCs/>
          <w:sz w:val="24"/>
          <w:szCs w:val="24"/>
        </w:rPr>
        <w:t>;</w:t>
      </w:r>
    </w:p>
    <w:p w14:paraId="6CB623F8" w14:textId="79C7C128" w:rsidR="001909EF" w:rsidRPr="001909EF" w:rsidRDefault="001909EF" w:rsidP="001E098B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09EF">
        <w:rPr>
          <w:rFonts w:ascii="Times New Roman" w:hAnsi="Times New Roman" w:cs="Times New Roman"/>
          <w:bCs/>
          <w:sz w:val="24"/>
          <w:szCs w:val="24"/>
        </w:rPr>
        <w:t>fakt wynikający z aktu notarialnego</w:t>
      </w:r>
      <w:r w:rsidR="001E098B">
        <w:rPr>
          <w:rFonts w:ascii="Times New Roman" w:hAnsi="Times New Roman" w:cs="Times New Roman"/>
          <w:bCs/>
          <w:sz w:val="24"/>
          <w:szCs w:val="24"/>
        </w:rPr>
        <w:t>;</w:t>
      </w:r>
    </w:p>
    <w:p w14:paraId="228ED0BD" w14:textId="46B217E5" w:rsidR="001909EF" w:rsidRPr="001909EF" w:rsidRDefault="001909EF" w:rsidP="001E098B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09EF">
        <w:rPr>
          <w:rFonts w:ascii="Times New Roman" w:hAnsi="Times New Roman" w:cs="Times New Roman"/>
          <w:bCs/>
          <w:sz w:val="24"/>
          <w:szCs w:val="24"/>
        </w:rPr>
        <w:t>fakt powszechnie znany.</w:t>
      </w:r>
    </w:p>
    <w:p w14:paraId="5BEAAF03" w14:textId="77777777" w:rsidR="001909EF" w:rsidRPr="001909EF" w:rsidRDefault="001909EF" w:rsidP="001909EF">
      <w:pPr>
        <w:spacing w:line="360" w:lineRule="auto"/>
        <w:jc w:val="both"/>
        <w:rPr>
          <w:bCs/>
        </w:rPr>
      </w:pPr>
    </w:p>
    <w:p w14:paraId="5548E373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  <w:r w:rsidRPr="001909EF">
        <w:rPr>
          <w:bCs/>
        </w:rPr>
        <w:t xml:space="preserve">29. </w:t>
      </w:r>
      <w:r w:rsidRPr="001909EF">
        <w:rPr>
          <w:bCs/>
          <w:kern w:val="2"/>
        </w:rPr>
        <w:t>Prawo cywilne charakteryzuje się:</w:t>
      </w:r>
    </w:p>
    <w:p w14:paraId="684A990D" w14:textId="58E5EF51" w:rsidR="001909EF" w:rsidRPr="001909EF" w:rsidRDefault="001909EF" w:rsidP="001E098B">
      <w:pPr>
        <w:numPr>
          <w:ilvl w:val="0"/>
          <w:numId w:val="29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autonomią woli podmiotów</w:t>
      </w:r>
      <w:r w:rsidR="001E098B">
        <w:rPr>
          <w:bCs/>
          <w:kern w:val="2"/>
        </w:rPr>
        <w:t>;</w:t>
      </w:r>
    </w:p>
    <w:p w14:paraId="10DE859B" w14:textId="08BD067B" w:rsidR="001909EF" w:rsidRPr="001909EF" w:rsidRDefault="001909EF" w:rsidP="001E098B">
      <w:pPr>
        <w:numPr>
          <w:ilvl w:val="0"/>
          <w:numId w:val="29"/>
        </w:numPr>
        <w:spacing w:line="360" w:lineRule="auto"/>
        <w:jc w:val="both"/>
        <w:rPr>
          <w:bCs/>
          <w:kern w:val="2"/>
        </w:rPr>
      </w:pPr>
      <w:proofErr w:type="spellStart"/>
      <w:r w:rsidRPr="001909EF">
        <w:rPr>
          <w:bCs/>
          <w:kern w:val="2"/>
        </w:rPr>
        <w:t>retroakcyjnością</w:t>
      </w:r>
      <w:proofErr w:type="spellEnd"/>
      <w:r w:rsidR="001E098B">
        <w:rPr>
          <w:bCs/>
          <w:kern w:val="2"/>
        </w:rPr>
        <w:t>;</w:t>
      </w:r>
    </w:p>
    <w:p w14:paraId="43B844C7" w14:textId="77777777" w:rsidR="001909EF" w:rsidRPr="001909EF" w:rsidRDefault="001909EF" w:rsidP="001E098B">
      <w:pPr>
        <w:numPr>
          <w:ilvl w:val="0"/>
          <w:numId w:val="29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regulacją stosunków za pomocą decyzji administracyjnoprawnych.</w:t>
      </w:r>
    </w:p>
    <w:p w14:paraId="0F336C59" w14:textId="77777777" w:rsidR="001909EF" w:rsidRPr="001909EF" w:rsidRDefault="001909EF" w:rsidP="001909EF">
      <w:pPr>
        <w:spacing w:line="360" w:lineRule="auto"/>
        <w:jc w:val="both"/>
        <w:rPr>
          <w:bCs/>
        </w:rPr>
      </w:pPr>
    </w:p>
    <w:p w14:paraId="42D054F2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  <w:r w:rsidRPr="001909EF">
        <w:rPr>
          <w:bCs/>
        </w:rPr>
        <w:t xml:space="preserve">30. </w:t>
      </w:r>
      <w:r w:rsidRPr="001909EF">
        <w:rPr>
          <w:bCs/>
          <w:i/>
          <w:iCs/>
          <w:kern w:val="2"/>
        </w:rPr>
        <w:t xml:space="preserve">Causa </w:t>
      </w:r>
      <w:proofErr w:type="spellStart"/>
      <w:r w:rsidRPr="001909EF">
        <w:rPr>
          <w:bCs/>
          <w:i/>
          <w:iCs/>
          <w:kern w:val="2"/>
        </w:rPr>
        <w:t>donandi</w:t>
      </w:r>
      <w:proofErr w:type="spellEnd"/>
      <w:r w:rsidRPr="001909EF">
        <w:rPr>
          <w:bCs/>
          <w:kern w:val="2"/>
        </w:rPr>
        <w:t xml:space="preserve"> to cel prawny przysporzenia polegający na:</w:t>
      </w:r>
    </w:p>
    <w:p w14:paraId="4D578DBF" w14:textId="78E13F94" w:rsidR="001909EF" w:rsidRPr="001909EF" w:rsidRDefault="001909EF" w:rsidP="001E098B">
      <w:pPr>
        <w:numPr>
          <w:ilvl w:val="0"/>
          <w:numId w:val="30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 xml:space="preserve">przysporzeniu pod tytułem </w:t>
      </w:r>
      <w:proofErr w:type="spellStart"/>
      <w:r w:rsidRPr="001909EF">
        <w:rPr>
          <w:bCs/>
          <w:kern w:val="2"/>
        </w:rPr>
        <w:t>darmym</w:t>
      </w:r>
      <w:proofErr w:type="spellEnd"/>
      <w:r w:rsidR="001E098B">
        <w:rPr>
          <w:bCs/>
          <w:kern w:val="2"/>
        </w:rPr>
        <w:t>;</w:t>
      </w:r>
    </w:p>
    <w:p w14:paraId="32E5BD51" w14:textId="6618BF6C" w:rsidR="001909EF" w:rsidRPr="001909EF" w:rsidRDefault="001909EF" w:rsidP="001E098B">
      <w:pPr>
        <w:numPr>
          <w:ilvl w:val="0"/>
          <w:numId w:val="30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przysporzeniu w celu zwolnienia się od istniejącego obowiązku</w:t>
      </w:r>
      <w:r w:rsidR="001E098B">
        <w:rPr>
          <w:bCs/>
          <w:kern w:val="2"/>
        </w:rPr>
        <w:t>;</w:t>
      </w:r>
    </w:p>
    <w:p w14:paraId="329C999A" w14:textId="77777777" w:rsidR="001909EF" w:rsidRPr="001909EF" w:rsidRDefault="001909EF" w:rsidP="001E098B">
      <w:pPr>
        <w:numPr>
          <w:ilvl w:val="0"/>
          <w:numId w:val="30"/>
        </w:num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przysporzeniu  w celu uzyskania w zamian przysporzenia drugiej strony.</w:t>
      </w:r>
    </w:p>
    <w:p w14:paraId="3CBD863B" w14:textId="77777777" w:rsidR="001909EF" w:rsidRPr="001909EF" w:rsidRDefault="001909EF" w:rsidP="001909EF">
      <w:pPr>
        <w:spacing w:line="360" w:lineRule="auto"/>
        <w:jc w:val="both"/>
        <w:rPr>
          <w:bCs/>
        </w:rPr>
      </w:pPr>
    </w:p>
    <w:p w14:paraId="4DD364BE" w14:textId="77777777" w:rsidR="001909EF" w:rsidRPr="001909EF" w:rsidRDefault="001909EF" w:rsidP="001909EF">
      <w:pPr>
        <w:tabs>
          <w:tab w:val="left" w:pos="8505"/>
        </w:tabs>
        <w:spacing w:line="360" w:lineRule="auto"/>
        <w:ind w:right="567"/>
        <w:jc w:val="both"/>
        <w:outlineLvl w:val="0"/>
        <w:rPr>
          <w:bCs/>
          <w:kern w:val="2"/>
        </w:rPr>
      </w:pPr>
      <w:r w:rsidRPr="001909EF">
        <w:rPr>
          <w:bCs/>
        </w:rPr>
        <w:t xml:space="preserve">31. </w:t>
      </w:r>
      <w:r w:rsidRPr="001909EF">
        <w:rPr>
          <w:bCs/>
          <w:kern w:val="2"/>
        </w:rPr>
        <w:t>40-letni Jan Bąk, ubezwłasnowolniony częściowo, sporządził testament własnoręczny, w którym do spadku powołał swojego syna Piotra:</w:t>
      </w:r>
    </w:p>
    <w:p w14:paraId="41CCA8A9" w14:textId="3853ADAC" w:rsidR="001909EF" w:rsidRPr="001909EF" w:rsidRDefault="001909EF" w:rsidP="001E098B">
      <w:pPr>
        <w:pStyle w:val="Akapitzlist"/>
        <w:numPr>
          <w:ilvl w:val="0"/>
          <w:numId w:val="31"/>
        </w:numPr>
        <w:tabs>
          <w:tab w:val="left" w:pos="8505"/>
        </w:tabs>
        <w:spacing w:line="360" w:lineRule="auto"/>
        <w:ind w:right="567"/>
        <w:jc w:val="both"/>
        <w:outlineLvl w:val="0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testament jest ważny</w:t>
      </w:r>
      <w:r w:rsidR="001E098B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</w:p>
    <w:p w14:paraId="636F3ADA" w14:textId="45B50930" w:rsidR="001909EF" w:rsidRPr="001909EF" w:rsidRDefault="001909EF" w:rsidP="001E098B">
      <w:pPr>
        <w:pStyle w:val="Akapitzlist"/>
        <w:numPr>
          <w:ilvl w:val="0"/>
          <w:numId w:val="31"/>
        </w:numPr>
        <w:tabs>
          <w:tab w:val="left" w:pos="8505"/>
        </w:tabs>
        <w:spacing w:line="360" w:lineRule="auto"/>
        <w:ind w:right="567"/>
        <w:jc w:val="both"/>
        <w:outlineLvl w:val="0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testament wymaga dla swej ważności potwierdzenia przedstawiciela ustawowego Jana Bąka</w:t>
      </w:r>
      <w:r w:rsidR="001E098B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</w:p>
    <w:p w14:paraId="3D31A6C5" w14:textId="5804E7EC" w:rsidR="001909EF" w:rsidRPr="001909EF" w:rsidRDefault="001909EF" w:rsidP="001E098B">
      <w:pPr>
        <w:pStyle w:val="Akapitzlist"/>
        <w:numPr>
          <w:ilvl w:val="0"/>
          <w:numId w:val="31"/>
        </w:numPr>
        <w:tabs>
          <w:tab w:val="left" w:pos="8505"/>
        </w:tabs>
        <w:spacing w:line="360" w:lineRule="auto"/>
        <w:ind w:right="567"/>
        <w:jc w:val="both"/>
        <w:outlineLvl w:val="0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testament jest nieważny.</w:t>
      </w:r>
    </w:p>
    <w:p w14:paraId="34D7AAC9" w14:textId="36E2B7FB" w:rsidR="001909EF" w:rsidRDefault="001909EF" w:rsidP="001909EF">
      <w:pPr>
        <w:spacing w:line="360" w:lineRule="auto"/>
        <w:jc w:val="both"/>
        <w:rPr>
          <w:bCs/>
        </w:rPr>
      </w:pPr>
    </w:p>
    <w:p w14:paraId="32B8DC85" w14:textId="78F0A6F7" w:rsidR="001909EF" w:rsidRDefault="001909EF" w:rsidP="001909EF">
      <w:pPr>
        <w:spacing w:line="360" w:lineRule="auto"/>
        <w:jc w:val="both"/>
        <w:rPr>
          <w:bCs/>
        </w:rPr>
      </w:pPr>
    </w:p>
    <w:p w14:paraId="43424AF7" w14:textId="77777777" w:rsidR="001909EF" w:rsidRPr="001909EF" w:rsidRDefault="001909EF" w:rsidP="001909EF">
      <w:pPr>
        <w:spacing w:line="360" w:lineRule="auto"/>
        <w:jc w:val="both"/>
        <w:rPr>
          <w:bCs/>
        </w:rPr>
      </w:pPr>
    </w:p>
    <w:p w14:paraId="50BFA4FB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  <w:r w:rsidRPr="001909EF">
        <w:rPr>
          <w:bCs/>
        </w:rPr>
        <w:lastRenderedPageBreak/>
        <w:t xml:space="preserve">32. </w:t>
      </w:r>
      <w:bookmarkStart w:id="1" w:name="_Hlk103953383"/>
      <w:r w:rsidRPr="001909EF">
        <w:rPr>
          <w:bCs/>
          <w:kern w:val="2"/>
        </w:rPr>
        <w:t>Adresat oferty to:</w:t>
      </w:r>
    </w:p>
    <w:p w14:paraId="6329015B" w14:textId="062EF56F" w:rsidR="001909EF" w:rsidRPr="001909EF" w:rsidRDefault="001909EF" w:rsidP="001E098B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opat</w:t>
      </w:r>
      <w:r w:rsidR="001E098B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</w:p>
    <w:p w14:paraId="3725E789" w14:textId="1E481E22" w:rsidR="001909EF" w:rsidRPr="001909EF" w:rsidRDefault="001909EF" w:rsidP="001E098B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oblat</w:t>
      </w:r>
      <w:r w:rsidR="001E098B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</w:p>
    <w:p w14:paraId="443046B0" w14:textId="2B03EB1C" w:rsidR="001909EF" w:rsidRPr="001909EF" w:rsidRDefault="001909EF" w:rsidP="001E098B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błędny rycerz.</w:t>
      </w:r>
    </w:p>
    <w:bookmarkEnd w:id="1"/>
    <w:p w14:paraId="0B14B890" w14:textId="77777777" w:rsidR="001909EF" w:rsidRPr="001909EF" w:rsidRDefault="001909EF" w:rsidP="001909EF">
      <w:pPr>
        <w:spacing w:line="360" w:lineRule="auto"/>
        <w:jc w:val="both"/>
        <w:rPr>
          <w:bCs/>
        </w:rPr>
      </w:pPr>
    </w:p>
    <w:p w14:paraId="34F931FF" w14:textId="77777777" w:rsidR="001909EF" w:rsidRPr="001909EF" w:rsidRDefault="001909EF" w:rsidP="001909EF">
      <w:pPr>
        <w:spacing w:line="360" w:lineRule="auto"/>
        <w:jc w:val="both"/>
        <w:rPr>
          <w:bCs/>
        </w:rPr>
      </w:pPr>
      <w:r w:rsidRPr="001909EF">
        <w:rPr>
          <w:bCs/>
        </w:rPr>
        <w:t xml:space="preserve">33. </w:t>
      </w:r>
      <w:bookmarkStart w:id="2" w:name="_Hlk199090067"/>
      <w:r w:rsidRPr="001909EF">
        <w:rPr>
          <w:bCs/>
        </w:rPr>
        <w:t>Zawarcie umowy w wyniku aukcji następuje (co do zasady) z chwilą udzielenia:</w:t>
      </w:r>
    </w:p>
    <w:p w14:paraId="56FFDAA1" w14:textId="7CFAD321" w:rsidR="001909EF" w:rsidRPr="001909EF" w:rsidRDefault="001909EF" w:rsidP="001E098B">
      <w:pPr>
        <w:numPr>
          <w:ilvl w:val="0"/>
          <w:numId w:val="33"/>
        </w:numPr>
        <w:spacing w:line="360" w:lineRule="auto"/>
        <w:jc w:val="both"/>
        <w:rPr>
          <w:bCs/>
        </w:rPr>
      </w:pPr>
      <w:r w:rsidRPr="001909EF">
        <w:rPr>
          <w:bCs/>
        </w:rPr>
        <w:t>przysięgi</w:t>
      </w:r>
      <w:r w:rsidR="001E098B">
        <w:rPr>
          <w:bCs/>
        </w:rPr>
        <w:t>;</w:t>
      </w:r>
    </w:p>
    <w:p w14:paraId="307327E8" w14:textId="579A6EC5" w:rsidR="001909EF" w:rsidRPr="001909EF" w:rsidRDefault="001909EF" w:rsidP="001E098B">
      <w:pPr>
        <w:numPr>
          <w:ilvl w:val="0"/>
          <w:numId w:val="33"/>
        </w:numPr>
        <w:spacing w:line="360" w:lineRule="auto"/>
        <w:jc w:val="both"/>
        <w:rPr>
          <w:bCs/>
        </w:rPr>
      </w:pPr>
      <w:r w:rsidRPr="001909EF">
        <w:rPr>
          <w:bCs/>
        </w:rPr>
        <w:t>przybicia</w:t>
      </w:r>
      <w:r w:rsidR="001E098B">
        <w:rPr>
          <w:bCs/>
        </w:rPr>
        <w:t>;</w:t>
      </w:r>
    </w:p>
    <w:p w14:paraId="4CCECBD1" w14:textId="77777777" w:rsidR="001909EF" w:rsidRPr="001909EF" w:rsidRDefault="001909EF" w:rsidP="001E098B">
      <w:pPr>
        <w:numPr>
          <w:ilvl w:val="0"/>
          <w:numId w:val="33"/>
        </w:numPr>
        <w:spacing w:line="360" w:lineRule="auto"/>
        <w:jc w:val="both"/>
        <w:rPr>
          <w:bCs/>
        </w:rPr>
      </w:pPr>
      <w:r w:rsidRPr="001909EF">
        <w:rPr>
          <w:bCs/>
        </w:rPr>
        <w:t>przebicia.</w:t>
      </w:r>
    </w:p>
    <w:bookmarkEnd w:id="2"/>
    <w:p w14:paraId="346DF747" w14:textId="77777777" w:rsidR="001909EF" w:rsidRPr="001909EF" w:rsidRDefault="001909EF" w:rsidP="001909EF">
      <w:pPr>
        <w:spacing w:line="360" w:lineRule="auto"/>
        <w:jc w:val="both"/>
        <w:rPr>
          <w:bCs/>
        </w:rPr>
      </w:pPr>
    </w:p>
    <w:p w14:paraId="79B43D46" w14:textId="45A4356B" w:rsidR="001909EF" w:rsidRPr="001909EF" w:rsidRDefault="001909EF" w:rsidP="001909EF">
      <w:pPr>
        <w:tabs>
          <w:tab w:val="left" w:pos="8505"/>
        </w:tabs>
        <w:spacing w:line="360" w:lineRule="auto"/>
        <w:ind w:right="567"/>
        <w:jc w:val="both"/>
        <w:rPr>
          <w:bCs/>
          <w:kern w:val="2"/>
        </w:rPr>
      </w:pPr>
      <w:r w:rsidRPr="001909EF">
        <w:rPr>
          <w:bCs/>
        </w:rPr>
        <w:t>34</w:t>
      </w:r>
      <w:r>
        <w:rPr>
          <w:bCs/>
        </w:rPr>
        <w:t>.</w:t>
      </w:r>
      <w:r w:rsidRPr="001909EF">
        <w:rPr>
          <w:bCs/>
        </w:rPr>
        <w:t xml:space="preserve"> </w:t>
      </w:r>
      <w:r w:rsidRPr="001909EF">
        <w:rPr>
          <w:bCs/>
          <w:kern w:val="2"/>
        </w:rPr>
        <w:t>Komisant jest:</w:t>
      </w:r>
    </w:p>
    <w:p w14:paraId="129FA882" w14:textId="21702430" w:rsidR="001909EF" w:rsidRPr="001909EF" w:rsidRDefault="001909EF" w:rsidP="001E098B">
      <w:pPr>
        <w:numPr>
          <w:ilvl w:val="0"/>
          <w:numId w:val="34"/>
        </w:numPr>
        <w:tabs>
          <w:tab w:val="left" w:pos="8505"/>
        </w:tabs>
        <w:spacing w:line="360" w:lineRule="auto"/>
        <w:ind w:right="567"/>
        <w:jc w:val="both"/>
        <w:rPr>
          <w:bCs/>
          <w:kern w:val="2"/>
        </w:rPr>
      </w:pPr>
      <w:r w:rsidRPr="001909EF">
        <w:rPr>
          <w:bCs/>
          <w:kern w:val="2"/>
        </w:rPr>
        <w:t>pełnomocnikiem</w:t>
      </w:r>
      <w:r w:rsidR="001E098B">
        <w:rPr>
          <w:bCs/>
          <w:kern w:val="2"/>
        </w:rPr>
        <w:t>;</w:t>
      </w:r>
    </w:p>
    <w:p w14:paraId="1210434B" w14:textId="4F6E7D52" w:rsidR="001909EF" w:rsidRPr="001909EF" w:rsidRDefault="001909EF" w:rsidP="001E098B">
      <w:pPr>
        <w:numPr>
          <w:ilvl w:val="0"/>
          <w:numId w:val="34"/>
        </w:numPr>
        <w:tabs>
          <w:tab w:val="left" w:pos="8505"/>
        </w:tabs>
        <w:spacing w:line="360" w:lineRule="auto"/>
        <w:ind w:right="567"/>
        <w:jc w:val="both"/>
        <w:rPr>
          <w:bCs/>
          <w:kern w:val="2"/>
        </w:rPr>
      </w:pPr>
      <w:r w:rsidRPr="001909EF">
        <w:rPr>
          <w:bCs/>
          <w:kern w:val="2"/>
        </w:rPr>
        <w:t>posłańcem</w:t>
      </w:r>
      <w:r w:rsidR="001E098B">
        <w:rPr>
          <w:bCs/>
          <w:kern w:val="2"/>
        </w:rPr>
        <w:t>;</w:t>
      </w:r>
    </w:p>
    <w:p w14:paraId="14F25357" w14:textId="7F4CF01B" w:rsidR="001909EF" w:rsidRPr="001909EF" w:rsidRDefault="001909EF" w:rsidP="001E098B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zastępcą pośrednim.</w:t>
      </w:r>
    </w:p>
    <w:p w14:paraId="2F73E1D6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</w:p>
    <w:p w14:paraId="0BAB8F2F" w14:textId="77777777" w:rsidR="001909EF" w:rsidRPr="001909EF" w:rsidRDefault="001909EF" w:rsidP="001909EF">
      <w:pPr>
        <w:tabs>
          <w:tab w:val="left" w:pos="8505"/>
        </w:tabs>
        <w:spacing w:line="360" w:lineRule="auto"/>
        <w:ind w:right="567"/>
        <w:jc w:val="both"/>
        <w:rPr>
          <w:bCs/>
          <w:kern w:val="2"/>
          <w:lang w:val="en-US"/>
        </w:rPr>
      </w:pPr>
      <w:r w:rsidRPr="001909EF">
        <w:rPr>
          <w:bCs/>
          <w:kern w:val="2"/>
        </w:rPr>
        <w:t xml:space="preserve">35. </w:t>
      </w:r>
      <w:proofErr w:type="spellStart"/>
      <w:r w:rsidRPr="001909EF">
        <w:rPr>
          <w:bCs/>
          <w:i/>
          <w:iCs/>
          <w:kern w:val="2"/>
          <w:lang w:val="en-US"/>
        </w:rPr>
        <w:t>Falsus</w:t>
      </w:r>
      <w:proofErr w:type="spellEnd"/>
      <w:r w:rsidRPr="001909EF">
        <w:rPr>
          <w:bCs/>
          <w:i/>
          <w:iCs/>
          <w:kern w:val="2"/>
          <w:lang w:val="en-US"/>
        </w:rPr>
        <w:t xml:space="preserve"> procurator</w:t>
      </w:r>
      <w:r w:rsidRPr="001909EF">
        <w:rPr>
          <w:bCs/>
          <w:kern w:val="2"/>
          <w:lang w:val="en-US"/>
        </w:rPr>
        <w:t xml:space="preserve"> to:</w:t>
      </w:r>
    </w:p>
    <w:p w14:paraId="4FA0B9A4" w14:textId="64FA0632" w:rsidR="001909EF" w:rsidRPr="001909EF" w:rsidRDefault="001909EF" w:rsidP="001E098B">
      <w:pPr>
        <w:numPr>
          <w:ilvl w:val="0"/>
          <w:numId w:val="35"/>
        </w:numPr>
        <w:tabs>
          <w:tab w:val="left" w:pos="8505"/>
        </w:tabs>
        <w:spacing w:line="360" w:lineRule="auto"/>
        <w:ind w:right="567"/>
        <w:jc w:val="both"/>
        <w:rPr>
          <w:bCs/>
          <w:kern w:val="2"/>
        </w:rPr>
      </w:pPr>
      <w:r w:rsidRPr="001909EF">
        <w:rPr>
          <w:bCs/>
          <w:kern w:val="2"/>
        </w:rPr>
        <w:t>fałszywy prokurator</w:t>
      </w:r>
      <w:r w:rsidR="001E098B">
        <w:rPr>
          <w:bCs/>
          <w:kern w:val="2"/>
        </w:rPr>
        <w:t>;</w:t>
      </w:r>
    </w:p>
    <w:p w14:paraId="63FEB1ED" w14:textId="53CF9166" w:rsidR="001909EF" w:rsidRPr="001909EF" w:rsidRDefault="001909EF" w:rsidP="001E098B">
      <w:pPr>
        <w:numPr>
          <w:ilvl w:val="0"/>
          <w:numId w:val="35"/>
        </w:numPr>
        <w:tabs>
          <w:tab w:val="left" w:pos="8505"/>
        </w:tabs>
        <w:spacing w:line="360" w:lineRule="auto"/>
        <w:ind w:right="567"/>
        <w:jc w:val="both"/>
        <w:rPr>
          <w:bCs/>
          <w:kern w:val="2"/>
        </w:rPr>
      </w:pPr>
      <w:r w:rsidRPr="001909EF">
        <w:rPr>
          <w:bCs/>
          <w:kern w:val="2"/>
        </w:rPr>
        <w:t>przedstawiciel ustawowy</w:t>
      </w:r>
      <w:r w:rsidR="001E098B">
        <w:rPr>
          <w:bCs/>
          <w:kern w:val="2"/>
        </w:rPr>
        <w:t>;</w:t>
      </w:r>
    </w:p>
    <w:p w14:paraId="3CFCB9C6" w14:textId="1570C9E2" w:rsidR="001909EF" w:rsidRPr="001909EF" w:rsidRDefault="001909EF" w:rsidP="001E098B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rzekomy pełnomocnik.</w:t>
      </w:r>
    </w:p>
    <w:p w14:paraId="466FB141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</w:p>
    <w:p w14:paraId="45EFD9AA" w14:textId="77777777" w:rsidR="001909EF" w:rsidRPr="001909EF" w:rsidRDefault="001909EF" w:rsidP="001909EF">
      <w:pPr>
        <w:spacing w:line="360" w:lineRule="auto"/>
        <w:jc w:val="both"/>
        <w:rPr>
          <w:bCs/>
          <w:kern w:val="2"/>
        </w:rPr>
      </w:pPr>
      <w:r w:rsidRPr="001909EF">
        <w:rPr>
          <w:bCs/>
          <w:kern w:val="2"/>
        </w:rPr>
        <w:t>36. Ostatni dzień terminu spełnienia świadczenia pieniężnego przypada na sobotę 2. maja. Dłużnik nie zapłacił w terminie. Wierzyciel będzie mógł liczyć odsetki od dnia:</w:t>
      </w:r>
    </w:p>
    <w:p w14:paraId="1D7E1A70" w14:textId="2B5F1EDA" w:rsidR="001909EF" w:rsidRPr="001909EF" w:rsidRDefault="001909EF" w:rsidP="001E098B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3 maja</w:t>
      </w:r>
      <w:r w:rsidR="001E098B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 xml:space="preserve">    </w:t>
      </w:r>
    </w:p>
    <w:p w14:paraId="09C8FFB3" w14:textId="4DCC5087" w:rsidR="001909EF" w:rsidRPr="001909EF" w:rsidRDefault="001909EF" w:rsidP="001E098B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4 maja</w:t>
      </w:r>
      <w:r w:rsidR="001E098B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</w:p>
    <w:p w14:paraId="7F0634AA" w14:textId="7CDA0132" w:rsidR="001909EF" w:rsidRPr="001909EF" w:rsidRDefault="001909EF" w:rsidP="001E098B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909EF">
        <w:rPr>
          <w:rFonts w:ascii="Times New Roman" w:hAnsi="Times New Roman" w:cs="Times New Roman"/>
          <w:bCs/>
          <w:kern w:val="2"/>
          <w:sz w:val="24"/>
          <w:szCs w:val="24"/>
        </w:rPr>
        <w:t>5 maja.</w:t>
      </w:r>
    </w:p>
    <w:p w14:paraId="63655631" w14:textId="41A87A0E" w:rsidR="0069323A" w:rsidRPr="001909EF" w:rsidRDefault="0069323A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775F4645" w14:textId="1D17C772" w:rsidR="0069323A" w:rsidRPr="001909EF" w:rsidRDefault="0069323A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2D4613D4" w14:textId="3BAC7030" w:rsidR="0069323A" w:rsidRPr="001909EF" w:rsidRDefault="0069323A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736F978E" w14:textId="1B1621AB" w:rsidR="001909EF" w:rsidRPr="001909EF" w:rsidRDefault="001909EF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3B1652FF" w14:textId="627ACB1D" w:rsidR="001909EF" w:rsidRPr="001909EF" w:rsidRDefault="001909EF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63B4966A" w14:textId="77777777" w:rsidR="001909EF" w:rsidRPr="001909EF" w:rsidRDefault="001909EF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3408FEB5" w14:textId="77777777" w:rsidR="00671C6D" w:rsidRPr="001909EF" w:rsidRDefault="00671C6D" w:rsidP="0071570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  <w:lang w:eastAsia="en-US"/>
        </w:rPr>
      </w:pPr>
    </w:p>
    <w:p w14:paraId="00109E89" w14:textId="58916BD5" w:rsidR="00414C4F" w:rsidRPr="001909EF" w:rsidRDefault="00414C4F" w:rsidP="00C6543C">
      <w:pPr>
        <w:spacing w:after="200" w:line="276" w:lineRule="auto"/>
        <w:rPr>
          <w:b/>
          <w:color w:val="000000" w:themeColor="text1"/>
        </w:rPr>
      </w:pPr>
      <w:r w:rsidRPr="001909EF">
        <w:rPr>
          <w:b/>
          <w:color w:val="000000" w:themeColor="text1"/>
        </w:rPr>
        <w:lastRenderedPageBreak/>
        <w:t xml:space="preserve">KAZUS </w:t>
      </w:r>
      <w:r w:rsidR="00C01257" w:rsidRPr="001909EF">
        <w:rPr>
          <w:b/>
          <w:color w:val="000000" w:themeColor="text1"/>
        </w:rPr>
        <w:t xml:space="preserve">nr 1 </w:t>
      </w:r>
    </w:p>
    <w:p w14:paraId="60CC87F6" w14:textId="2188CBA6" w:rsidR="00EF1FB8" w:rsidRPr="001909EF" w:rsidRDefault="00EF1FB8" w:rsidP="00C6543C">
      <w:pPr>
        <w:spacing w:line="360" w:lineRule="auto"/>
        <w:jc w:val="both"/>
        <w:rPr>
          <w:bCs/>
          <w:color w:val="000000" w:themeColor="text1"/>
        </w:rPr>
      </w:pPr>
    </w:p>
    <w:p w14:paraId="66671E52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bCs/>
          <w:color w:val="000000" w:themeColor="text1"/>
        </w:rPr>
      </w:pPr>
      <w:r w:rsidRPr="001909EF">
        <w:rPr>
          <w:rFonts w:eastAsia="Calibri"/>
          <w:bCs/>
          <w:color w:val="000000" w:themeColor="text1"/>
        </w:rPr>
        <w:t>Po przeprowadzeniu śledztwa, prokurator wniósł akt oskarżenia do Sądu Rejonowego w Wołowie przeciwko Janowi Kowalskiemu, oskarżonemu o to, że w dniu 25 grudnia 2025r. w Wołowie, województwo dolnośląskie, zadał Adamowi Decowi cios nożem w lewą stronę klatki piersiowej, powodując obrażenia w postaci przebicia lewego płuca i odmy płucnej, powodujące ciężki uszczerbek na zdrowiu w postaci choroby realnie zagrażającej życiu, tj. o</w:t>
      </w:r>
      <w:r w:rsidRPr="001909EF">
        <w:rPr>
          <w:bCs/>
          <w:color w:val="000000" w:themeColor="text1"/>
        </w:rPr>
        <w:t xml:space="preserve"> </w:t>
      </w:r>
      <w:r w:rsidRPr="001909EF">
        <w:rPr>
          <w:rFonts w:eastAsia="Calibri"/>
          <w:bCs/>
          <w:color w:val="000000" w:themeColor="text1"/>
        </w:rPr>
        <w:t xml:space="preserve">przestępstwo z art. 156 § 1 pkt 2 k.k. </w:t>
      </w:r>
    </w:p>
    <w:p w14:paraId="1D03249B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bCs/>
          <w:color w:val="000000" w:themeColor="text1"/>
        </w:rPr>
      </w:pPr>
      <w:r w:rsidRPr="001909EF">
        <w:rPr>
          <w:rFonts w:eastAsia="Calibri"/>
          <w:bCs/>
          <w:color w:val="000000" w:themeColor="text1"/>
        </w:rPr>
        <w:t>W toku śledztwa i rozprawy głównej, Jan Kowalski nie przyznał się do winy, lecz zdarzenie obserwowało wielu świadków, którzy potwierdzili jego sprawstwo. Oprócz tego, sąd dysponował nagraniem z monitoringu, na którym widać było moment zadania ciosu nożem oraz opinią biegłego z zakresu medycyny sądowej, potwierdzającą mechanizm doznania obrażeń ciała oraz to, że skutkiem uderzenia nożem był ciężki uszczerbek na zdrowiu pokrzywdzonego w postaci choroby realnie zagrażającej życiu (co odpowiada kwalifikacji z art. 156 § 1 pkt 2 k.k.).</w:t>
      </w:r>
    </w:p>
    <w:p w14:paraId="1CA0089B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bCs/>
          <w:color w:val="000000" w:themeColor="text1"/>
        </w:rPr>
      </w:pPr>
      <w:r w:rsidRPr="001909EF">
        <w:rPr>
          <w:rFonts w:eastAsia="Calibri"/>
          <w:bCs/>
          <w:color w:val="000000" w:themeColor="text1"/>
        </w:rPr>
        <w:t>Wyrokiem z dnia 22 stycznia 2025r. Sąd Rejonowy w Wołowie uznał oskarżonego Jana Kowalskiego za winnego przestępstwa z art. 156 § 1 pkt 2 k.k. i wymierzył mu karę 3 lat pozbawienia wolności, w dolnej granicy ustawowego zagrożenia. Zapadłego wyroku nie zaskarżył obrońca oskarżonego, który reprezentował go w trakcie śledztwa i na rozprawie głównej, natomiast wyrok zaskarżył prokurator, domagając się podwyższenia kary do 5 lat pozbawienia wolności.</w:t>
      </w:r>
    </w:p>
    <w:p w14:paraId="4276E1EC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bCs/>
          <w:color w:val="000000" w:themeColor="text1"/>
        </w:rPr>
      </w:pPr>
      <w:r w:rsidRPr="001909EF">
        <w:rPr>
          <w:rFonts w:eastAsia="Calibri"/>
          <w:bCs/>
          <w:color w:val="000000" w:themeColor="text1"/>
        </w:rPr>
        <w:t>Po wpłynięciu apelacji, Przewodniczący Wydziału Karnego Odwoławczego Sądu Okręgowego we Wrocławiu skierował sprawę na rozprawę odwoławczą.</w:t>
      </w:r>
    </w:p>
    <w:p w14:paraId="65C5FCBD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b/>
          <w:color w:val="000000" w:themeColor="text1"/>
        </w:rPr>
      </w:pPr>
      <w:r w:rsidRPr="001909EF">
        <w:rPr>
          <w:rFonts w:eastAsia="Calibri"/>
          <w:bCs/>
          <w:color w:val="000000" w:themeColor="text1"/>
        </w:rPr>
        <w:t xml:space="preserve"> </w:t>
      </w:r>
    </w:p>
    <w:p w14:paraId="777DCEF9" w14:textId="77777777" w:rsidR="0069323A" w:rsidRPr="001909EF" w:rsidRDefault="0069323A" w:rsidP="0069323A">
      <w:pPr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b/>
          <w:color w:val="000000" w:themeColor="text1"/>
        </w:rPr>
      </w:pPr>
      <w:r w:rsidRPr="001909EF">
        <w:rPr>
          <w:rFonts w:eastAsia="Calibri"/>
          <w:b/>
          <w:color w:val="000000" w:themeColor="text1"/>
        </w:rPr>
        <w:t>Proszę opracować wyrok sądu odwoławczego w tej sprawie (czyli Sądu Okręgowego we Wrocławiu), zwracając uwagę na skład sądu oraz treść rozstrzygnięcia.</w:t>
      </w:r>
    </w:p>
    <w:p w14:paraId="17F96CA2" w14:textId="56C947B6" w:rsidR="00EF1FB8" w:rsidRPr="001909EF" w:rsidRDefault="00EF1FB8" w:rsidP="00C6543C">
      <w:pPr>
        <w:spacing w:line="360" w:lineRule="auto"/>
        <w:jc w:val="both"/>
        <w:rPr>
          <w:bCs/>
          <w:color w:val="000000" w:themeColor="text1"/>
        </w:rPr>
      </w:pPr>
    </w:p>
    <w:p w14:paraId="53843D60" w14:textId="13336A36" w:rsidR="00EF1FB8" w:rsidRPr="001909EF" w:rsidRDefault="00EF1FB8" w:rsidP="00C6543C">
      <w:pPr>
        <w:spacing w:line="360" w:lineRule="auto"/>
        <w:jc w:val="both"/>
        <w:rPr>
          <w:bCs/>
          <w:color w:val="000000" w:themeColor="text1"/>
        </w:rPr>
      </w:pPr>
    </w:p>
    <w:p w14:paraId="367E6765" w14:textId="77777777" w:rsidR="00EF1FB8" w:rsidRPr="001909EF" w:rsidRDefault="00EF1FB8" w:rsidP="00C6543C">
      <w:pPr>
        <w:spacing w:line="360" w:lineRule="auto"/>
        <w:jc w:val="both"/>
        <w:rPr>
          <w:bCs/>
          <w:color w:val="000000" w:themeColor="text1"/>
        </w:rPr>
      </w:pPr>
    </w:p>
    <w:p w14:paraId="259E4852" w14:textId="5EBE7248" w:rsidR="001909EF" w:rsidRPr="001909EF" w:rsidRDefault="00C01257" w:rsidP="001909EF">
      <w:pPr>
        <w:spacing w:line="360" w:lineRule="auto"/>
        <w:ind w:firstLine="708"/>
        <w:jc w:val="both"/>
        <w:rPr>
          <w:b/>
          <w:color w:val="000000" w:themeColor="text1"/>
        </w:rPr>
      </w:pPr>
      <w:r w:rsidRPr="001909EF">
        <w:rPr>
          <w:b/>
          <w:color w:val="000000" w:themeColor="text1"/>
        </w:rPr>
        <w:t>KAZUS nr 2</w:t>
      </w:r>
    </w:p>
    <w:p w14:paraId="7B9FA72C" w14:textId="77777777" w:rsidR="001909EF" w:rsidRPr="001909EF" w:rsidRDefault="001909EF" w:rsidP="001E098B">
      <w:pPr>
        <w:spacing w:line="360" w:lineRule="auto"/>
        <w:contextualSpacing/>
        <w:jc w:val="both"/>
        <w:rPr>
          <w:rFonts w:eastAsia="Calibri"/>
          <w:bCs/>
          <w:color w:val="000000" w:themeColor="text1"/>
        </w:rPr>
      </w:pPr>
      <w:r w:rsidRPr="001909EF">
        <w:rPr>
          <w:rFonts w:eastAsia="Calibri"/>
          <w:bCs/>
          <w:color w:val="000000" w:themeColor="text1"/>
        </w:rPr>
        <w:t xml:space="preserve">Jan Kot pozwał solidarnie spółkę Przychodnia Lekarzy Specjalistów Wiśniewski </w:t>
      </w:r>
      <w:proofErr w:type="spellStart"/>
      <w:r w:rsidRPr="001909EF">
        <w:rPr>
          <w:rFonts w:eastAsia="Calibri"/>
          <w:bCs/>
          <w:color w:val="000000" w:themeColor="text1"/>
        </w:rPr>
        <w:t>sp.p</w:t>
      </w:r>
      <w:proofErr w:type="spellEnd"/>
      <w:r w:rsidRPr="001909EF">
        <w:rPr>
          <w:rFonts w:eastAsia="Calibri"/>
          <w:bCs/>
          <w:color w:val="000000" w:themeColor="text1"/>
        </w:rPr>
        <w:t>. w Koszalinie, jej obu (jedynych) wspólników Piotra Wiśniewskiego i Tomasza Wiśniewskiego o zapłatę kwoty 80 000 zł za błędną diagnozę i koszty wadliwego leczenia (wysokość szkody - niesporna). Pozwani wspólnicy wnieśli o oddalenie powództwa jako przedwczesnego, gdyż nie toczyła się jeszcze egzekucja z majątku spółki, nadto podnieśli, że porady udzielał ich pracownik Tomasz Żak, zatem za jego błędy oni nie odpowiadają. W replice powód wskazał, że próbował ustalić, który ze wspólników odpowiada za Tomasza Żaka, ale wspólnicy zbywali go milczeniem, więc pozwał ich obu. W toku procesu okazało się, że diagnoza dotyczyła skomplikowanego złamania ręki, a Piotr Wiśniewski jest ortopedą, zaś Tomasz Wiśniewski kardiologiem.</w:t>
      </w:r>
    </w:p>
    <w:p w14:paraId="610B5E52" w14:textId="77777777" w:rsidR="001909EF" w:rsidRPr="001909EF" w:rsidRDefault="001909EF" w:rsidP="001909EF">
      <w:pPr>
        <w:spacing w:line="360" w:lineRule="auto"/>
        <w:contextualSpacing/>
        <w:rPr>
          <w:rFonts w:eastAsia="Calibri"/>
          <w:bCs/>
          <w:color w:val="000000" w:themeColor="text1"/>
        </w:rPr>
      </w:pPr>
    </w:p>
    <w:p w14:paraId="4597904D" w14:textId="36DD40CA" w:rsidR="00C01257" w:rsidRPr="001909EF" w:rsidRDefault="001909EF" w:rsidP="001909EF">
      <w:pPr>
        <w:spacing w:line="360" w:lineRule="auto"/>
        <w:contextualSpacing/>
        <w:rPr>
          <w:rFonts w:eastAsia="Calibri"/>
          <w:bCs/>
          <w:color w:val="000000" w:themeColor="text1"/>
        </w:rPr>
      </w:pPr>
      <w:r w:rsidRPr="001909EF">
        <w:rPr>
          <w:rFonts w:eastAsia="Calibri"/>
          <w:bCs/>
          <w:color w:val="000000" w:themeColor="text1"/>
        </w:rPr>
        <w:t>Proszę ocenić stanowiska stron.</w:t>
      </w:r>
    </w:p>
    <w:sectPr w:rsidR="00C01257" w:rsidRPr="001909EF" w:rsidSect="00414C4F">
      <w:headerReference w:type="default" r:id="rId7"/>
      <w:footerReference w:type="default" r:id="rId8"/>
      <w:pgSz w:w="11906" w:h="16838"/>
      <w:pgMar w:top="1417" w:right="707" w:bottom="1417" w:left="1134" w:header="708" w:footer="27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48DA" w14:textId="77777777" w:rsidR="0065672D" w:rsidRDefault="0065672D" w:rsidP="0065672D">
      <w:r>
        <w:separator/>
      </w:r>
    </w:p>
  </w:endnote>
  <w:endnote w:type="continuationSeparator" w:id="0">
    <w:p w14:paraId="6A370106" w14:textId="77777777" w:rsidR="0065672D" w:rsidRDefault="0065672D" w:rsidP="0065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2"/>
        <w:szCs w:val="22"/>
      </w:rPr>
      <w:id w:val="-1849089900"/>
      <w:docPartObj>
        <w:docPartGallery w:val="Page Numbers (Bottom of Page)"/>
        <w:docPartUnique/>
      </w:docPartObj>
    </w:sdtPr>
    <w:sdtEndPr/>
    <w:sdtContent>
      <w:p w14:paraId="189A510B" w14:textId="77777777" w:rsidR="00640F12" w:rsidRDefault="00640F12">
        <w:pPr>
          <w:pStyle w:val="Stopka"/>
          <w:pBdr>
            <w:bottom w:val="single" w:sz="6" w:space="1" w:color="auto"/>
          </w:pBdr>
          <w:rPr>
            <w:rFonts w:asciiTheme="majorHAnsi" w:eastAsiaTheme="majorEastAsia" w:hAnsiTheme="majorHAnsi" w:cstheme="majorBidi"/>
            <w:sz w:val="22"/>
            <w:szCs w:val="22"/>
          </w:rPr>
        </w:pPr>
      </w:p>
      <w:p w14:paraId="7323CC77" w14:textId="77777777" w:rsidR="00640F12" w:rsidRDefault="00640F12">
        <w:pPr>
          <w:pStyle w:val="Stopka"/>
          <w:rPr>
            <w:rFonts w:asciiTheme="majorHAnsi" w:eastAsiaTheme="majorEastAsia" w:hAnsiTheme="majorHAnsi" w:cstheme="majorBidi"/>
            <w:sz w:val="22"/>
            <w:szCs w:val="22"/>
          </w:rPr>
        </w:pPr>
      </w:p>
      <w:p w14:paraId="3F67D748" w14:textId="77777777" w:rsidR="00640F12" w:rsidRPr="00640F12" w:rsidRDefault="00640F12">
        <w:pPr>
          <w:pStyle w:val="Stopka"/>
          <w:rPr>
            <w:sz w:val="22"/>
            <w:szCs w:val="22"/>
          </w:rPr>
        </w:pPr>
        <w:r w:rsidRPr="00640F12">
          <w:rPr>
            <w:rFonts w:asciiTheme="majorHAnsi" w:eastAsiaTheme="majorEastAsia" w:hAnsiTheme="majorHAnsi" w:cstheme="majorBidi"/>
            <w:sz w:val="22"/>
            <w:szCs w:val="22"/>
          </w:rPr>
          <w:t xml:space="preserve">str. </w:t>
        </w:r>
        <w:r w:rsidRPr="00640F12"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 w:rsidRPr="00640F12">
          <w:rPr>
            <w:sz w:val="22"/>
            <w:szCs w:val="22"/>
          </w:rPr>
          <w:instrText>PAGE    \* MERGEFORMAT</w:instrText>
        </w:r>
        <w:r w:rsidRPr="00640F12"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335691" w:rsidRPr="00335691">
          <w:rPr>
            <w:rFonts w:asciiTheme="majorHAnsi" w:eastAsiaTheme="majorEastAsia" w:hAnsiTheme="majorHAnsi" w:cstheme="majorBidi"/>
            <w:noProof/>
            <w:sz w:val="22"/>
            <w:szCs w:val="22"/>
          </w:rPr>
          <w:t>7</w:t>
        </w:r>
        <w:r w:rsidRPr="00640F12">
          <w:rPr>
            <w:rFonts w:asciiTheme="majorHAnsi" w:eastAsiaTheme="majorEastAsia" w:hAnsiTheme="majorHAnsi" w:cstheme="majorBid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32B85" w14:textId="77777777" w:rsidR="0065672D" w:rsidRDefault="0065672D" w:rsidP="0065672D">
      <w:r>
        <w:separator/>
      </w:r>
    </w:p>
  </w:footnote>
  <w:footnote w:type="continuationSeparator" w:id="0">
    <w:p w14:paraId="36C134FF" w14:textId="77777777" w:rsidR="0065672D" w:rsidRDefault="0065672D" w:rsidP="00656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18478" w14:textId="664950D7" w:rsidR="00A122F3" w:rsidRDefault="0065672D">
    <w:pPr>
      <w:pStyle w:val="Nagwek"/>
      <w:pBdr>
        <w:bottom w:val="single" w:sz="6" w:space="1" w:color="auto"/>
      </w:pBdr>
    </w:pPr>
    <w:r>
      <w:t xml:space="preserve">Konkurs na stanowisko asystenta sędziego </w:t>
    </w:r>
    <w:r w:rsidR="00640F12">
      <w:t xml:space="preserve"> K</w:t>
    </w:r>
    <w:r w:rsidR="00C45DAF">
      <w:t>.</w:t>
    </w:r>
    <w:r w:rsidR="00640F12">
      <w:t>110</w:t>
    </w:r>
    <w:r w:rsidR="00414C4F">
      <w:t>1</w:t>
    </w:r>
    <w:r w:rsidR="00C45DAF">
      <w:t>.</w:t>
    </w:r>
    <w:r w:rsidR="00757422">
      <w:t>10</w:t>
    </w:r>
    <w:r w:rsidR="00C45DAF">
      <w:t>.</w:t>
    </w:r>
    <w:r w:rsidR="00640F12">
      <w:t>2</w:t>
    </w:r>
    <w:r w:rsidR="00414C4F">
      <w:t>02</w:t>
    </w:r>
    <w:r w:rsidR="001E098B">
      <w:t>6</w:t>
    </w:r>
    <w:r w:rsidR="00C45DAF">
      <w:t xml:space="preserve">, dnia </w:t>
    </w:r>
    <w:r w:rsidR="00671C6D">
      <w:t>6 maja</w:t>
    </w:r>
    <w:r w:rsidR="00C45DAF">
      <w:t xml:space="preserve"> 202</w:t>
    </w:r>
    <w:r w:rsidR="00796D3E">
      <w:t>6</w:t>
    </w:r>
    <w:r w:rsidR="00C45DAF">
      <w:t xml:space="preserve"> r.</w:t>
    </w:r>
  </w:p>
  <w:p w14:paraId="55F74B63" w14:textId="77777777" w:rsidR="00640F12" w:rsidRDefault="00640F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53B1"/>
    <w:multiLevelType w:val="hybridMultilevel"/>
    <w:tmpl w:val="DB643646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5F3D0A"/>
    <w:multiLevelType w:val="hybridMultilevel"/>
    <w:tmpl w:val="CFD80618"/>
    <w:lvl w:ilvl="0" w:tplc="0415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C0E059E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5887558"/>
    <w:multiLevelType w:val="hybridMultilevel"/>
    <w:tmpl w:val="F3CC8E98"/>
    <w:lvl w:ilvl="0" w:tplc="0415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BFD0E1F"/>
    <w:multiLevelType w:val="hybridMultilevel"/>
    <w:tmpl w:val="DC6EFBEC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5">
      <w:start w:val="1"/>
      <w:numFmt w:val="upp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E86860"/>
    <w:multiLevelType w:val="hybridMultilevel"/>
    <w:tmpl w:val="BB4C0412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BC32C6"/>
    <w:multiLevelType w:val="hybridMultilevel"/>
    <w:tmpl w:val="14963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63E08"/>
    <w:multiLevelType w:val="hybridMultilevel"/>
    <w:tmpl w:val="DBDABD8E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774EE5"/>
    <w:multiLevelType w:val="hybridMultilevel"/>
    <w:tmpl w:val="FBD82AE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B22FF"/>
    <w:multiLevelType w:val="hybridMultilevel"/>
    <w:tmpl w:val="7E2026F0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8552EA"/>
    <w:multiLevelType w:val="hybridMultilevel"/>
    <w:tmpl w:val="4F8297C6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9057CA"/>
    <w:multiLevelType w:val="hybridMultilevel"/>
    <w:tmpl w:val="588EB934"/>
    <w:lvl w:ilvl="0" w:tplc="04150015">
      <w:start w:val="1"/>
      <w:numFmt w:val="upperLetter"/>
      <w:lvlText w:val="%1.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1" w15:restartNumberingAfterBreak="0">
    <w:nsid w:val="18150642"/>
    <w:multiLevelType w:val="hybridMultilevel"/>
    <w:tmpl w:val="67B2AD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D4970"/>
    <w:multiLevelType w:val="hybridMultilevel"/>
    <w:tmpl w:val="42DC59F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E28CF"/>
    <w:multiLevelType w:val="hybridMultilevel"/>
    <w:tmpl w:val="956E3388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B207BD0"/>
    <w:multiLevelType w:val="hybridMultilevel"/>
    <w:tmpl w:val="2862A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AE6F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55614A"/>
    <w:multiLevelType w:val="hybridMultilevel"/>
    <w:tmpl w:val="4B0A12B2"/>
    <w:lvl w:ilvl="0" w:tplc="0415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3817DE5"/>
    <w:multiLevelType w:val="hybridMultilevel"/>
    <w:tmpl w:val="2384F8A4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AE6EEF"/>
    <w:multiLevelType w:val="hybridMultilevel"/>
    <w:tmpl w:val="38464A6A"/>
    <w:lvl w:ilvl="0" w:tplc="04150015">
      <w:start w:val="1"/>
      <w:numFmt w:val="upperLetter"/>
      <w:lvlText w:val="%1."/>
      <w:lvlJc w:val="left"/>
      <w:pPr>
        <w:ind w:left="1416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6894C07"/>
    <w:multiLevelType w:val="hybridMultilevel"/>
    <w:tmpl w:val="EFCE75BC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7582D5C"/>
    <w:multiLevelType w:val="hybridMultilevel"/>
    <w:tmpl w:val="D4820DA2"/>
    <w:lvl w:ilvl="0" w:tplc="04150015">
      <w:start w:val="1"/>
      <w:numFmt w:val="upperLetter"/>
      <w:lvlText w:val="%1."/>
      <w:lvlJc w:val="left"/>
      <w:pPr>
        <w:ind w:left="984" w:hanging="9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C300F0"/>
    <w:multiLevelType w:val="hybridMultilevel"/>
    <w:tmpl w:val="29AE5BB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A035C"/>
    <w:multiLevelType w:val="hybridMultilevel"/>
    <w:tmpl w:val="3AD2F344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6B4103"/>
    <w:multiLevelType w:val="hybridMultilevel"/>
    <w:tmpl w:val="BB3ED612"/>
    <w:lvl w:ilvl="0" w:tplc="0415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BAC4351"/>
    <w:multiLevelType w:val="hybridMultilevel"/>
    <w:tmpl w:val="642C56E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801BC"/>
    <w:multiLevelType w:val="hybridMultilevel"/>
    <w:tmpl w:val="923C6DF6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F332E13"/>
    <w:multiLevelType w:val="hybridMultilevel"/>
    <w:tmpl w:val="AF447A24"/>
    <w:lvl w:ilvl="0" w:tplc="04150015">
      <w:start w:val="1"/>
      <w:numFmt w:val="upperLetter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4FF116D"/>
    <w:multiLevelType w:val="hybridMultilevel"/>
    <w:tmpl w:val="6D7827BC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563E20"/>
    <w:multiLevelType w:val="hybridMultilevel"/>
    <w:tmpl w:val="19C63A72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A176C2A"/>
    <w:multiLevelType w:val="hybridMultilevel"/>
    <w:tmpl w:val="A6F8F6C4"/>
    <w:lvl w:ilvl="0" w:tplc="04150015">
      <w:start w:val="1"/>
      <w:numFmt w:val="upperLetter"/>
      <w:lvlText w:val="%1."/>
      <w:lvlJc w:val="left"/>
      <w:pPr>
        <w:ind w:left="1143" w:hanging="435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B534134"/>
    <w:multiLevelType w:val="hybridMultilevel"/>
    <w:tmpl w:val="5BEE133A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1F31B6"/>
    <w:multiLevelType w:val="hybridMultilevel"/>
    <w:tmpl w:val="95F2D996"/>
    <w:lvl w:ilvl="0" w:tplc="0415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586065B"/>
    <w:multiLevelType w:val="hybridMultilevel"/>
    <w:tmpl w:val="20EEC8B0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5">
      <w:start w:val="1"/>
      <w:numFmt w:val="upp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405B3C"/>
    <w:multiLevelType w:val="hybridMultilevel"/>
    <w:tmpl w:val="CB18CBAA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5">
      <w:start w:val="1"/>
      <w:numFmt w:val="upp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C125FA"/>
    <w:multiLevelType w:val="hybridMultilevel"/>
    <w:tmpl w:val="34D2DC6C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7D44247"/>
    <w:multiLevelType w:val="hybridMultilevel"/>
    <w:tmpl w:val="B39E6466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96D2F66"/>
    <w:multiLevelType w:val="hybridMultilevel"/>
    <w:tmpl w:val="4CFA84B4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A7C4288"/>
    <w:multiLevelType w:val="hybridMultilevel"/>
    <w:tmpl w:val="281AEF6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1078804">
    <w:abstractNumId w:val="14"/>
  </w:num>
  <w:num w:numId="2" w16cid:durableId="414674028">
    <w:abstractNumId w:val="4"/>
  </w:num>
  <w:num w:numId="3" w16cid:durableId="1087312137">
    <w:abstractNumId w:val="9"/>
  </w:num>
  <w:num w:numId="4" w16cid:durableId="2126341628">
    <w:abstractNumId w:val="0"/>
  </w:num>
  <w:num w:numId="5" w16cid:durableId="991955080">
    <w:abstractNumId w:val="34"/>
  </w:num>
  <w:num w:numId="6" w16cid:durableId="84350104">
    <w:abstractNumId w:val="10"/>
  </w:num>
  <w:num w:numId="7" w16cid:durableId="1712531928">
    <w:abstractNumId w:val="36"/>
  </w:num>
  <w:num w:numId="8" w16cid:durableId="1171411889">
    <w:abstractNumId w:val="21"/>
  </w:num>
  <w:num w:numId="9" w16cid:durableId="1643608431">
    <w:abstractNumId w:val="6"/>
  </w:num>
  <w:num w:numId="10" w16cid:durableId="263615237">
    <w:abstractNumId w:val="20"/>
  </w:num>
  <w:num w:numId="11" w16cid:durableId="1691684815">
    <w:abstractNumId w:val="5"/>
  </w:num>
  <w:num w:numId="12" w16cid:durableId="1238396594">
    <w:abstractNumId w:val="8"/>
  </w:num>
  <w:num w:numId="13" w16cid:durableId="110362868">
    <w:abstractNumId w:val="11"/>
  </w:num>
  <w:num w:numId="14" w16cid:durableId="1012076116">
    <w:abstractNumId w:val="19"/>
  </w:num>
  <w:num w:numId="15" w16cid:durableId="1491170538">
    <w:abstractNumId w:val="23"/>
  </w:num>
  <w:num w:numId="16" w16cid:durableId="301078948">
    <w:abstractNumId w:val="28"/>
  </w:num>
  <w:num w:numId="17" w16cid:durableId="1187787492">
    <w:abstractNumId w:val="25"/>
  </w:num>
  <w:num w:numId="18" w16cid:durableId="1936207791">
    <w:abstractNumId w:val="13"/>
  </w:num>
  <w:num w:numId="19" w16cid:durableId="2061978769">
    <w:abstractNumId w:val="18"/>
  </w:num>
  <w:num w:numId="20" w16cid:durableId="1864634674">
    <w:abstractNumId w:val="27"/>
  </w:num>
  <w:num w:numId="21" w16cid:durableId="102264167">
    <w:abstractNumId w:val="22"/>
  </w:num>
  <w:num w:numId="22" w16cid:durableId="1199272575">
    <w:abstractNumId w:val="35"/>
  </w:num>
  <w:num w:numId="23" w16cid:durableId="416363137">
    <w:abstractNumId w:val="24"/>
  </w:num>
  <w:num w:numId="24" w16cid:durableId="35545107">
    <w:abstractNumId w:val="17"/>
  </w:num>
  <w:num w:numId="25" w16cid:durableId="961494845">
    <w:abstractNumId w:val="33"/>
  </w:num>
  <w:num w:numId="26" w16cid:durableId="128400048">
    <w:abstractNumId w:val="12"/>
  </w:num>
  <w:num w:numId="27" w16cid:durableId="114720224">
    <w:abstractNumId w:val="26"/>
  </w:num>
  <w:num w:numId="28" w16cid:durableId="1870603280">
    <w:abstractNumId w:val="30"/>
  </w:num>
  <w:num w:numId="29" w16cid:durableId="782119332">
    <w:abstractNumId w:val="1"/>
  </w:num>
  <w:num w:numId="30" w16cid:durableId="17510820">
    <w:abstractNumId w:val="15"/>
  </w:num>
  <w:num w:numId="31" w16cid:durableId="161315927">
    <w:abstractNumId w:val="32"/>
  </w:num>
  <w:num w:numId="32" w16cid:durableId="1116631597">
    <w:abstractNumId w:val="31"/>
  </w:num>
  <w:num w:numId="33" w16cid:durableId="1488277199">
    <w:abstractNumId w:val="2"/>
  </w:num>
  <w:num w:numId="34" w16cid:durableId="811364731">
    <w:abstractNumId w:val="29"/>
  </w:num>
  <w:num w:numId="35" w16cid:durableId="459766072">
    <w:abstractNumId w:val="16"/>
  </w:num>
  <w:num w:numId="36" w16cid:durableId="1691685195">
    <w:abstractNumId w:val="7"/>
  </w:num>
  <w:num w:numId="37" w16cid:durableId="67164405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86B"/>
    <w:rsid w:val="00036281"/>
    <w:rsid w:val="0014093A"/>
    <w:rsid w:val="001530D8"/>
    <w:rsid w:val="00187A0E"/>
    <w:rsid w:val="001909EF"/>
    <w:rsid w:val="001A30CE"/>
    <w:rsid w:val="001D18B8"/>
    <w:rsid w:val="001E098B"/>
    <w:rsid w:val="001F62FF"/>
    <w:rsid w:val="002406F8"/>
    <w:rsid w:val="002553C3"/>
    <w:rsid w:val="002C3B9D"/>
    <w:rsid w:val="002F5093"/>
    <w:rsid w:val="00335691"/>
    <w:rsid w:val="00340846"/>
    <w:rsid w:val="0034121F"/>
    <w:rsid w:val="00351556"/>
    <w:rsid w:val="00357FF4"/>
    <w:rsid w:val="0036157B"/>
    <w:rsid w:val="00371DD4"/>
    <w:rsid w:val="003731EB"/>
    <w:rsid w:val="003B2175"/>
    <w:rsid w:val="003C7A36"/>
    <w:rsid w:val="003D4512"/>
    <w:rsid w:val="00414C4F"/>
    <w:rsid w:val="004A3C98"/>
    <w:rsid w:val="004B232A"/>
    <w:rsid w:val="00532EF4"/>
    <w:rsid w:val="00570562"/>
    <w:rsid w:val="005A53C6"/>
    <w:rsid w:val="00606E7D"/>
    <w:rsid w:val="00607E69"/>
    <w:rsid w:val="00634A7D"/>
    <w:rsid w:val="00640F12"/>
    <w:rsid w:val="0065672D"/>
    <w:rsid w:val="00671C6D"/>
    <w:rsid w:val="00674A0F"/>
    <w:rsid w:val="0069323A"/>
    <w:rsid w:val="00696486"/>
    <w:rsid w:val="006C503F"/>
    <w:rsid w:val="006E486B"/>
    <w:rsid w:val="0071570F"/>
    <w:rsid w:val="007368AC"/>
    <w:rsid w:val="00757422"/>
    <w:rsid w:val="00796D3E"/>
    <w:rsid w:val="00894713"/>
    <w:rsid w:val="008C1467"/>
    <w:rsid w:val="00902DE6"/>
    <w:rsid w:val="00903A80"/>
    <w:rsid w:val="00986398"/>
    <w:rsid w:val="00A122F3"/>
    <w:rsid w:val="00A57D87"/>
    <w:rsid w:val="00A802DF"/>
    <w:rsid w:val="00AC62C1"/>
    <w:rsid w:val="00AD4A91"/>
    <w:rsid w:val="00AE05CB"/>
    <w:rsid w:val="00AE2263"/>
    <w:rsid w:val="00B625ED"/>
    <w:rsid w:val="00BA5DB3"/>
    <w:rsid w:val="00BF5161"/>
    <w:rsid w:val="00C01257"/>
    <w:rsid w:val="00C250A6"/>
    <w:rsid w:val="00C26394"/>
    <w:rsid w:val="00C45DAF"/>
    <w:rsid w:val="00C566B7"/>
    <w:rsid w:val="00C571EC"/>
    <w:rsid w:val="00C6543C"/>
    <w:rsid w:val="00C86834"/>
    <w:rsid w:val="00C92C95"/>
    <w:rsid w:val="00D83376"/>
    <w:rsid w:val="00DB63A2"/>
    <w:rsid w:val="00DC1782"/>
    <w:rsid w:val="00DD298B"/>
    <w:rsid w:val="00E66B35"/>
    <w:rsid w:val="00EA69CB"/>
    <w:rsid w:val="00ED24C1"/>
    <w:rsid w:val="00EF1FB8"/>
    <w:rsid w:val="00F13741"/>
    <w:rsid w:val="00F417D5"/>
    <w:rsid w:val="00FC2898"/>
    <w:rsid w:val="00FC29D6"/>
    <w:rsid w:val="00FE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10717F3"/>
  <w15:docId w15:val="{10E706B7-E7F0-4474-975E-8843977A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17D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567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67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67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67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9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9D6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D83376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D833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1798</Words>
  <Characters>10793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Biedroń Iwona</dc:creator>
  <cp:lastModifiedBy>Gajowska Natalia</cp:lastModifiedBy>
  <cp:revision>2</cp:revision>
  <cp:lastPrinted>2026-05-04T07:24:00Z</cp:lastPrinted>
  <dcterms:created xsi:type="dcterms:W3CDTF">2026-05-28T12:04:00Z</dcterms:created>
  <dcterms:modified xsi:type="dcterms:W3CDTF">2026-05-28T12:04:00Z</dcterms:modified>
</cp:coreProperties>
</file>