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FB0E" w14:textId="77777777" w:rsidR="00755C10" w:rsidRPr="00755C10" w:rsidRDefault="00755C10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755C10">
        <w:rPr>
          <w:rFonts w:eastAsia="Calibri" w:cs="Times New Roman"/>
          <w:b/>
          <w:sz w:val="28"/>
          <w:szCs w:val="28"/>
        </w:rPr>
        <w:t>Test konkursowy - pisemny</w:t>
      </w:r>
    </w:p>
    <w:p w14:paraId="24DE0036" w14:textId="77777777" w:rsidR="00755C10" w:rsidRPr="00755C10" w:rsidRDefault="00755C10" w:rsidP="00755C10">
      <w:pPr>
        <w:spacing w:after="0" w:line="360" w:lineRule="auto"/>
        <w:jc w:val="center"/>
        <w:rPr>
          <w:rFonts w:eastAsia="Calibri" w:cs="Times New Roman"/>
          <w:sz w:val="28"/>
          <w:szCs w:val="28"/>
        </w:rPr>
      </w:pPr>
      <w:r w:rsidRPr="00755C10">
        <w:rPr>
          <w:rFonts w:eastAsia="Calibri" w:cs="Times New Roman"/>
          <w:sz w:val="28"/>
          <w:szCs w:val="28"/>
        </w:rPr>
        <w:t>(część I testowa i część II - opisowa)</w:t>
      </w:r>
    </w:p>
    <w:p w14:paraId="73BAD877" w14:textId="77777777" w:rsidR="00755C10" w:rsidRPr="00755C10" w:rsidRDefault="00755C10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755C10">
        <w:rPr>
          <w:rFonts w:eastAsia="Calibri" w:cs="Times New Roman"/>
          <w:b/>
          <w:sz w:val="28"/>
          <w:szCs w:val="28"/>
        </w:rPr>
        <w:t>dla kandydatów na stanowisko asystenta sędziego</w:t>
      </w:r>
    </w:p>
    <w:p w14:paraId="620F424E" w14:textId="77777777" w:rsidR="00755C10" w:rsidRPr="00755C10" w:rsidRDefault="00755C10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23 kwietnia 2024</w:t>
      </w:r>
      <w:r w:rsidRPr="00755C10">
        <w:rPr>
          <w:rFonts w:eastAsia="Calibri" w:cs="Times New Roman"/>
          <w:b/>
          <w:sz w:val="28"/>
          <w:szCs w:val="28"/>
        </w:rPr>
        <w:t xml:space="preserve"> r</w:t>
      </w:r>
    </w:p>
    <w:p w14:paraId="7E6F904F" w14:textId="77777777" w:rsidR="00755C10" w:rsidRPr="00755C10" w:rsidRDefault="00755C10" w:rsidP="00755C10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  <w:r w:rsidRPr="00755C10">
        <w:rPr>
          <w:rFonts w:eastAsia="Calibri" w:cs="Times New Roman"/>
          <w:b/>
          <w:sz w:val="24"/>
          <w:szCs w:val="24"/>
        </w:rPr>
        <w:t xml:space="preserve">Nr konkursu: </w:t>
      </w:r>
      <w:r>
        <w:rPr>
          <w:rFonts w:eastAsia="Calibri" w:cs="Times New Roman"/>
          <w:b/>
          <w:sz w:val="24"/>
          <w:szCs w:val="24"/>
        </w:rPr>
        <w:t>Kd.110.4.2024</w:t>
      </w:r>
    </w:p>
    <w:p w14:paraId="19002F12" w14:textId="77777777" w:rsidR="00755C10" w:rsidRPr="00755C10" w:rsidRDefault="00755C10" w:rsidP="00755C10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</w:p>
    <w:p w14:paraId="371A8F7F" w14:textId="77777777" w:rsidR="00755C10" w:rsidRPr="00755C10" w:rsidRDefault="00755C10" w:rsidP="00755C10">
      <w:pPr>
        <w:spacing w:after="0" w:line="360" w:lineRule="auto"/>
        <w:jc w:val="both"/>
        <w:rPr>
          <w:rFonts w:eastAsia="Calibri" w:cs="Times New Roman"/>
          <w:b/>
          <w:sz w:val="28"/>
          <w:szCs w:val="28"/>
        </w:rPr>
      </w:pPr>
      <w:r w:rsidRPr="00755C10">
        <w:rPr>
          <w:rFonts w:eastAsia="Calibri" w:cs="Times New Roman"/>
          <w:b/>
          <w:sz w:val="28"/>
          <w:szCs w:val="28"/>
        </w:rPr>
        <w:t>Imię i nazwisko ………………………………………….</w:t>
      </w:r>
    </w:p>
    <w:p w14:paraId="10FFB955" w14:textId="77777777" w:rsidR="00755C10" w:rsidRPr="00755C10" w:rsidRDefault="00755C10" w:rsidP="00755C10">
      <w:pPr>
        <w:spacing w:after="0" w:line="360" w:lineRule="auto"/>
        <w:jc w:val="both"/>
        <w:rPr>
          <w:rFonts w:eastAsia="Calibri" w:cs="Times New Roman"/>
          <w:sz w:val="24"/>
          <w:szCs w:val="24"/>
        </w:rPr>
      </w:pPr>
    </w:p>
    <w:p w14:paraId="3D759C37" w14:textId="77777777" w:rsidR="00806E21" w:rsidRDefault="00806E21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63F6B582" w14:textId="77777777" w:rsidR="00806E21" w:rsidRDefault="00806E21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0A9E19AA" w14:textId="77777777" w:rsidR="00755C10" w:rsidRPr="00755C10" w:rsidRDefault="00755C10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755C10">
        <w:rPr>
          <w:rFonts w:eastAsia="Calibri" w:cs="Times New Roman"/>
          <w:b/>
          <w:sz w:val="28"/>
          <w:szCs w:val="28"/>
        </w:rPr>
        <w:t>Część I test</w:t>
      </w:r>
    </w:p>
    <w:p w14:paraId="6E4B55A3" w14:textId="77777777" w:rsidR="00755C10" w:rsidRDefault="00755C10" w:rsidP="00C82B60">
      <w:pPr>
        <w:jc w:val="both"/>
        <w:rPr>
          <w:rFonts w:cs="Times New Roman"/>
          <w:b/>
          <w:sz w:val="24"/>
          <w:szCs w:val="24"/>
        </w:rPr>
      </w:pPr>
    </w:p>
    <w:p w14:paraId="5B2147F9" w14:textId="77777777" w:rsidR="00B06F2C" w:rsidRPr="00C82B60" w:rsidRDefault="00F23B49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</w:t>
      </w:r>
      <w:r w:rsidR="00964EE5" w:rsidRPr="00C82B60">
        <w:rPr>
          <w:rFonts w:cs="Times New Roman"/>
          <w:b/>
          <w:sz w:val="24"/>
          <w:szCs w:val="24"/>
        </w:rPr>
        <w:t>.</w:t>
      </w:r>
      <w:r w:rsidR="00964EE5" w:rsidRPr="00C82B60">
        <w:rPr>
          <w:rFonts w:cs="Times New Roman"/>
          <w:sz w:val="24"/>
          <w:szCs w:val="24"/>
        </w:rPr>
        <w:t xml:space="preserve"> </w:t>
      </w:r>
      <w:r w:rsidR="00806E21" w:rsidRPr="00806E21">
        <w:rPr>
          <w:rFonts w:cs="Times New Roman"/>
          <w:b/>
          <w:sz w:val="24"/>
          <w:szCs w:val="24"/>
        </w:rPr>
        <w:t>Zg</w:t>
      </w:r>
      <w:r w:rsidR="000670EB">
        <w:rPr>
          <w:rFonts w:cs="Times New Roman"/>
          <w:b/>
          <w:sz w:val="24"/>
          <w:szCs w:val="24"/>
        </w:rPr>
        <w:t>odnie z Kodeksem C</w:t>
      </w:r>
      <w:r w:rsidR="00B06F2C" w:rsidRPr="00C82B60">
        <w:rPr>
          <w:rFonts w:cs="Times New Roman"/>
          <w:b/>
          <w:sz w:val="24"/>
          <w:szCs w:val="24"/>
        </w:rPr>
        <w:t>ywilnym, jeżeli strony zastrzegły dla oświadczenia woli  przyjmującego zlecenie formę dokumentową dla celów dowodowych, to w razie jej niezachowania, dowód z zeznań świadków jest:</w:t>
      </w:r>
    </w:p>
    <w:p w14:paraId="26D2FBBE" w14:textId="77777777" w:rsidR="00B06F2C" w:rsidRPr="00C82B60" w:rsidRDefault="000670EB" w:rsidP="000670E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  </w:t>
      </w:r>
      <w:r w:rsidR="00B06F2C" w:rsidRPr="000670EB">
        <w:rPr>
          <w:rFonts w:cs="Times New Roman"/>
          <w:sz w:val="24"/>
          <w:szCs w:val="24"/>
        </w:rPr>
        <w:t>zawsze niedopuszczalny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>B.  n</w:t>
      </w:r>
      <w:r w:rsidR="00B06F2C" w:rsidRPr="000670EB">
        <w:rPr>
          <w:rFonts w:cs="Times New Roman"/>
          <w:sz w:val="24"/>
          <w:szCs w:val="24"/>
        </w:rPr>
        <w:t xml:space="preserve">iedopuszczalny, chyba że sąd wyrazi zgodę na jego przeprowadzenie ze względu na </w:t>
      </w:r>
      <w:r>
        <w:rPr>
          <w:rFonts w:cs="Times New Roman"/>
          <w:sz w:val="24"/>
          <w:szCs w:val="24"/>
        </w:rPr>
        <w:br/>
        <w:t xml:space="preserve">      </w:t>
      </w:r>
      <w:r w:rsidR="00B06F2C" w:rsidRPr="000670EB">
        <w:rPr>
          <w:rFonts w:cs="Times New Roman"/>
          <w:sz w:val="24"/>
          <w:szCs w:val="24"/>
        </w:rPr>
        <w:t>zasady współżycia społecznego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C.   </w:t>
      </w:r>
      <w:r w:rsidR="00B06F2C" w:rsidRPr="00C82B60">
        <w:rPr>
          <w:rFonts w:cs="Times New Roman"/>
          <w:sz w:val="24"/>
          <w:szCs w:val="24"/>
        </w:rPr>
        <w:t>dopuszczalny, gdy zażąda tego druga strona</w:t>
      </w:r>
    </w:p>
    <w:p w14:paraId="07106B2A" w14:textId="77777777" w:rsidR="00D62AAD" w:rsidRPr="00C82B60" w:rsidRDefault="00F23B49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2</w:t>
      </w:r>
      <w:r w:rsidR="000E45F4" w:rsidRPr="00C82B60">
        <w:rPr>
          <w:rFonts w:cs="Times New Roman"/>
          <w:b/>
          <w:sz w:val="24"/>
          <w:szCs w:val="24"/>
        </w:rPr>
        <w:t>. Zgodnie z Kodeksem Cywilnym, z zastrzeżeniem wyjątku dotyczącego potrącenia, dłużnikowi przysługują przeciwko nabywcy wierzytelności wszelkiego rodzaju zarzuty, które miał przeciwko zbywcy w chwili</w:t>
      </w:r>
      <w:r w:rsidR="0059785F" w:rsidRPr="00C82B60">
        <w:rPr>
          <w:rFonts w:cs="Times New Roman"/>
          <w:b/>
          <w:sz w:val="24"/>
          <w:szCs w:val="24"/>
        </w:rPr>
        <w:t>:</w:t>
      </w:r>
    </w:p>
    <w:p w14:paraId="1BEBD425" w14:textId="77777777" w:rsidR="000E45F4" w:rsidRPr="00C82B60" w:rsidRDefault="000E45F4" w:rsidP="000670EB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t xml:space="preserve">A. zawarcia umowy przelewu </w:t>
      </w:r>
      <w:r w:rsidR="007A2D1B">
        <w:rPr>
          <w:rFonts w:cs="Times New Roman"/>
          <w:sz w:val="24"/>
          <w:szCs w:val="24"/>
        </w:rPr>
        <w:tab/>
      </w:r>
      <w:r w:rsidR="007A2D1B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powzięcia wiadomości o przelewie</w:t>
      </w:r>
      <w:r w:rsidR="000670EB">
        <w:rPr>
          <w:rFonts w:cs="Times New Roman"/>
          <w:sz w:val="24"/>
          <w:szCs w:val="24"/>
        </w:rPr>
        <w:t xml:space="preserve"> </w:t>
      </w:r>
      <w:r w:rsidR="000670EB">
        <w:rPr>
          <w:rFonts w:cs="Times New Roman"/>
          <w:sz w:val="24"/>
          <w:szCs w:val="24"/>
        </w:rPr>
        <w:tab/>
      </w:r>
      <w:r w:rsidR="000670EB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C. określonej przez sąd ze względu na istotne okoliczności sprawy</w:t>
      </w:r>
    </w:p>
    <w:p w14:paraId="41365786" w14:textId="77777777" w:rsidR="00D62AAD" w:rsidRPr="00C82B60" w:rsidRDefault="00F23B49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3</w:t>
      </w:r>
      <w:r w:rsidR="000E45F4" w:rsidRPr="00C82B60">
        <w:rPr>
          <w:rFonts w:cs="Times New Roman"/>
          <w:b/>
          <w:sz w:val="24"/>
          <w:szCs w:val="24"/>
        </w:rPr>
        <w:t>. Zgodnie z Kodeksem Cywilnym, uchylenie się od skutków prawnych umowy o dział spadku zawartej pod wpływem błędu może nastąpić tylko wtedy, gdy błąd:</w:t>
      </w:r>
    </w:p>
    <w:p w14:paraId="5CC87F7A" w14:textId="77777777" w:rsidR="00964EE5" w:rsidRPr="00C82B60" w:rsidRDefault="000E45F4" w:rsidP="000670EB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t xml:space="preserve">A. </w:t>
      </w:r>
      <w:r w:rsidR="008D63D5">
        <w:rPr>
          <w:rFonts w:cs="Times New Roman"/>
          <w:sz w:val="24"/>
          <w:szCs w:val="24"/>
        </w:rPr>
        <w:t xml:space="preserve"> </w:t>
      </w:r>
      <w:r w:rsidRPr="00C82B60">
        <w:rPr>
          <w:rFonts w:cs="Times New Roman"/>
          <w:sz w:val="24"/>
          <w:szCs w:val="24"/>
        </w:rPr>
        <w:t>był istotny i dotyczył treści zawartej umowy</w:t>
      </w:r>
      <w:r w:rsidR="000670EB">
        <w:rPr>
          <w:rFonts w:cs="Times New Roman"/>
          <w:sz w:val="24"/>
          <w:szCs w:val="24"/>
        </w:rPr>
        <w:tab/>
      </w:r>
      <w:r w:rsidR="000670EB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był istotny, dotyczył treści zawartej umow</w:t>
      </w:r>
      <w:r w:rsidR="00964EE5" w:rsidRPr="00C82B60">
        <w:rPr>
          <w:rFonts w:cs="Times New Roman"/>
          <w:sz w:val="24"/>
          <w:szCs w:val="24"/>
        </w:rPr>
        <w:t>y</w:t>
      </w:r>
      <w:r w:rsidRPr="00C82B60">
        <w:rPr>
          <w:rFonts w:cs="Times New Roman"/>
          <w:sz w:val="24"/>
          <w:szCs w:val="24"/>
        </w:rPr>
        <w:t xml:space="preserve"> i został wywołany przez drugą stronę </w:t>
      </w:r>
      <w:r w:rsidR="000670EB">
        <w:rPr>
          <w:rFonts w:cs="Times New Roman"/>
          <w:sz w:val="24"/>
          <w:szCs w:val="24"/>
        </w:rPr>
        <w:t xml:space="preserve"> </w:t>
      </w:r>
      <w:r w:rsidR="000670EB">
        <w:rPr>
          <w:rFonts w:cs="Times New Roman"/>
          <w:sz w:val="24"/>
          <w:szCs w:val="24"/>
        </w:rPr>
        <w:br/>
        <w:t xml:space="preserve">      </w:t>
      </w:r>
      <w:r w:rsidRPr="00C82B60">
        <w:rPr>
          <w:rFonts w:cs="Times New Roman"/>
          <w:sz w:val="24"/>
          <w:szCs w:val="24"/>
        </w:rPr>
        <w:t>umowy, chociaż bez jej winy</w:t>
      </w:r>
      <w:r w:rsidR="000670EB">
        <w:rPr>
          <w:rFonts w:cs="Times New Roman"/>
          <w:sz w:val="24"/>
          <w:szCs w:val="24"/>
        </w:rPr>
        <w:t xml:space="preserve"> </w:t>
      </w:r>
      <w:r w:rsidR="000670EB">
        <w:rPr>
          <w:rFonts w:cs="Times New Roman"/>
          <w:sz w:val="24"/>
          <w:szCs w:val="24"/>
        </w:rPr>
        <w:tab/>
      </w:r>
      <w:r w:rsidR="000670EB">
        <w:rPr>
          <w:rFonts w:cs="Times New Roman"/>
          <w:sz w:val="24"/>
          <w:szCs w:val="24"/>
        </w:rPr>
        <w:br/>
        <w:t xml:space="preserve"> </w:t>
      </w:r>
      <w:r w:rsidR="00964EE5" w:rsidRPr="00C82B60">
        <w:rPr>
          <w:rFonts w:cs="Times New Roman"/>
          <w:sz w:val="24"/>
          <w:szCs w:val="24"/>
        </w:rPr>
        <w:t xml:space="preserve">C. dotyczył stanu faktycznego, który strony uważał za niewątpliwy </w:t>
      </w:r>
    </w:p>
    <w:p w14:paraId="12CF5652" w14:textId="77777777" w:rsidR="000401AF" w:rsidRPr="0096689A" w:rsidRDefault="000401AF" w:rsidP="000401AF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4</w:t>
      </w:r>
      <w:r w:rsidRPr="0096689A">
        <w:rPr>
          <w:rFonts w:cs="Times New Roman"/>
          <w:b/>
          <w:sz w:val="24"/>
          <w:szCs w:val="24"/>
        </w:rPr>
        <w:t>. Zgodnie z Kodeksem Cywilnym, jeżeli pełnomocnik po wygaśnięciu umocowania, dokona w imieniu mocodawcy czynności prawnej w granicach pierwotnego umocowania, czynność prawna jest:</w:t>
      </w:r>
    </w:p>
    <w:p w14:paraId="372F49F4" w14:textId="77777777" w:rsidR="000401AF" w:rsidRPr="00C82B60" w:rsidRDefault="000401AF" w:rsidP="007A2D1B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lastRenderedPageBreak/>
        <w:t xml:space="preserve">A. </w:t>
      </w:r>
      <w:r w:rsidR="007A2D1B">
        <w:rPr>
          <w:rFonts w:cs="Times New Roman"/>
          <w:sz w:val="24"/>
          <w:szCs w:val="24"/>
        </w:rPr>
        <w:t xml:space="preserve"> </w:t>
      </w:r>
      <w:r w:rsidRPr="00C82B60">
        <w:rPr>
          <w:rFonts w:cs="Times New Roman"/>
          <w:sz w:val="24"/>
          <w:szCs w:val="24"/>
        </w:rPr>
        <w:t xml:space="preserve">nieważna </w:t>
      </w:r>
      <w:r w:rsidR="007A2D1B">
        <w:rPr>
          <w:rFonts w:cs="Times New Roman"/>
          <w:sz w:val="24"/>
          <w:szCs w:val="24"/>
        </w:rPr>
        <w:tab/>
      </w:r>
      <w:r w:rsidR="007A2D1B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ważna</w:t>
      </w:r>
      <w:r w:rsidR="007A2D1B">
        <w:rPr>
          <w:rFonts w:cs="Times New Roman"/>
          <w:sz w:val="24"/>
          <w:szCs w:val="24"/>
        </w:rPr>
        <w:tab/>
      </w:r>
      <w:r w:rsidR="007A2D1B">
        <w:rPr>
          <w:rFonts w:cs="Times New Roman"/>
          <w:sz w:val="24"/>
          <w:szCs w:val="24"/>
        </w:rPr>
        <w:br/>
        <w:t xml:space="preserve">C. </w:t>
      </w:r>
      <w:r w:rsidRPr="00C82B60">
        <w:rPr>
          <w:rFonts w:cs="Times New Roman"/>
          <w:sz w:val="24"/>
          <w:szCs w:val="24"/>
        </w:rPr>
        <w:t xml:space="preserve">ważna, chyba że druga strona o wygaśnięciu umocowania wiedziała lub z łatwością </w:t>
      </w:r>
      <w:r w:rsidR="007A2D1B">
        <w:rPr>
          <w:rFonts w:cs="Times New Roman"/>
          <w:sz w:val="24"/>
          <w:szCs w:val="24"/>
        </w:rPr>
        <w:t xml:space="preserve">    </w:t>
      </w:r>
      <w:r w:rsidR="007A2D1B">
        <w:rPr>
          <w:rFonts w:cs="Times New Roman"/>
          <w:sz w:val="24"/>
          <w:szCs w:val="24"/>
        </w:rPr>
        <w:br/>
        <w:t xml:space="preserve">      </w:t>
      </w:r>
      <w:r w:rsidRPr="00C82B60">
        <w:rPr>
          <w:rFonts w:cs="Times New Roman"/>
          <w:sz w:val="24"/>
          <w:szCs w:val="24"/>
        </w:rPr>
        <w:t xml:space="preserve">mogła się dowiedzieć </w:t>
      </w:r>
    </w:p>
    <w:p w14:paraId="2C34D807" w14:textId="77777777" w:rsidR="000401AF" w:rsidRPr="000401AF" w:rsidRDefault="000401AF" w:rsidP="000401A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5.  </w:t>
      </w:r>
      <w:r w:rsidRPr="000401AF">
        <w:rPr>
          <w:rFonts w:cs="Times New Roman"/>
          <w:b/>
          <w:sz w:val="24"/>
          <w:szCs w:val="24"/>
        </w:rPr>
        <w:t>Zgodnie z Kodeksem cywilnym, małoletni, który ukończył lat trzynaście:</w:t>
      </w:r>
    </w:p>
    <w:p w14:paraId="02505BD7" w14:textId="77777777" w:rsidR="000401AF" w:rsidRPr="008D63D5" w:rsidRDefault="008D63D5" w:rsidP="008D63D5">
      <w:pPr>
        <w:spacing w:after="0"/>
        <w:jc w:val="both"/>
        <w:rPr>
          <w:rFonts w:cs="Times New Roman"/>
          <w:sz w:val="24"/>
          <w:szCs w:val="24"/>
        </w:rPr>
      </w:pPr>
      <w:r w:rsidRPr="008D63D5">
        <w:rPr>
          <w:rFonts w:cs="Times New Roman"/>
          <w:sz w:val="24"/>
          <w:szCs w:val="24"/>
        </w:rPr>
        <w:t>A.</w:t>
      </w:r>
      <w:r>
        <w:rPr>
          <w:rFonts w:cs="Times New Roman"/>
          <w:sz w:val="24"/>
          <w:szCs w:val="24"/>
        </w:rPr>
        <w:t xml:space="preserve"> </w:t>
      </w:r>
      <w:r w:rsidR="000401AF" w:rsidRPr="008D63D5">
        <w:rPr>
          <w:rFonts w:cs="Times New Roman"/>
          <w:sz w:val="24"/>
          <w:szCs w:val="24"/>
        </w:rPr>
        <w:t>nie może zostać ustanowiony ani pełnomocnikiem, ani prokurentem,</w:t>
      </w:r>
    </w:p>
    <w:p w14:paraId="5FDFEBAB" w14:textId="77777777" w:rsidR="000401AF" w:rsidRPr="008D63D5" w:rsidRDefault="008D63D5" w:rsidP="008D63D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B. </w:t>
      </w:r>
      <w:r w:rsidR="000401AF" w:rsidRPr="008D63D5">
        <w:rPr>
          <w:rFonts w:cs="Times New Roman"/>
          <w:sz w:val="24"/>
          <w:szCs w:val="24"/>
        </w:rPr>
        <w:t>może zostać ustanowiony pełnomocnikiem, ale nie może zostać ustanowiony prokurentem,</w:t>
      </w:r>
    </w:p>
    <w:p w14:paraId="2C60F18A" w14:textId="77777777" w:rsidR="000401AF" w:rsidRPr="008D63D5" w:rsidRDefault="008D63D5" w:rsidP="008D63D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C. </w:t>
      </w:r>
      <w:r w:rsidR="000401AF" w:rsidRPr="008D63D5">
        <w:rPr>
          <w:rFonts w:cs="Times New Roman"/>
          <w:sz w:val="24"/>
          <w:szCs w:val="24"/>
        </w:rPr>
        <w:t>nie może zostać ustanowiony pełnomocnikiem, ale może zostać ustanowiony prokurentem.</w:t>
      </w:r>
    </w:p>
    <w:p w14:paraId="1E1F13A0" w14:textId="77777777" w:rsidR="000401AF" w:rsidRPr="00C82B60" w:rsidRDefault="000401AF" w:rsidP="000401AF">
      <w:pPr>
        <w:spacing w:after="0"/>
        <w:jc w:val="both"/>
        <w:rPr>
          <w:rFonts w:cs="Times New Roman"/>
          <w:sz w:val="24"/>
          <w:szCs w:val="24"/>
        </w:rPr>
      </w:pPr>
    </w:p>
    <w:p w14:paraId="2940A875" w14:textId="77777777" w:rsidR="00D62AAD" w:rsidRPr="00C82B60" w:rsidRDefault="000401AF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6</w:t>
      </w:r>
      <w:r w:rsidR="00EB1073">
        <w:rPr>
          <w:rFonts w:cs="Times New Roman"/>
          <w:b/>
          <w:sz w:val="24"/>
          <w:szCs w:val="24"/>
        </w:rPr>
        <w:t xml:space="preserve">. </w:t>
      </w:r>
      <w:r w:rsidR="00964EE5" w:rsidRPr="00C82B60">
        <w:rPr>
          <w:rFonts w:cs="Times New Roman"/>
          <w:b/>
          <w:sz w:val="24"/>
          <w:szCs w:val="24"/>
        </w:rPr>
        <w:t>Zgodnie z Kodeksem Postępowania Cywilnego, jednemu pełnomocnikowi procesowemu dwóch powodów doręcza się:</w:t>
      </w:r>
    </w:p>
    <w:p w14:paraId="308B6759" w14:textId="77777777" w:rsidR="00964EE5" w:rsidRPr="00C82B60" w:rsidRDefault="00964EE5" w:rsidP="005666D0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t>A. jeden egzemplarz pozwu wzajemnego</w:t>
      </w:r>
      <w:r w:rsidR="0096689A">
        <w:rPr>
          <w:rFonts w:cs="Times New Roman"/>
          <w:sz w:val="24"/>
          <w:szCs w:val="24"/>
        </w:rPr>
        <w:t xml:space="preserve"> </w:t>
      </w:r>
      <w:r w:rsidR="0096689A">
        <w:rPr>
          <w:rFonts w:cs="Times New Roman"/>
          <w:sz w:val="24"/>
          <w:szCs w:val="24"/>
        </w:rPr>
        <w:tab/>
      </w:r>
      <w:r w:rsidR="0096689A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dwa egzemplarze pozwu wzajemnego</w:t>
      </w:r>
      <w:r w:rsidR="0096689A">
        <w:rPr>
          <w:rFonts w:cs="Times New Roman"/>
          <w:sz w:val="24"/>
          <w:szCs w:val="24"/>
        </w:rPr>
        <w:t xml:space="preserve"> </w:t>
      </w:r>
      <w:r w:rsidR="0096689A">
        <w:rPr>
          <w:rFonts w:cs="Times New Roman"/>
          <w:sz w:val="24"/>
          <w:szCs w:val="24"/>
        </w:rPr>
        <w:tab/>
      </w:r>
      <w:r w:rsidR="0096689A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C. trzy egzemplarze pozwu wzajemnego</w:t>
      </w:r>
    </w:p>
    <w:p w14:paraId="6F0888D0" w14:textId="77777777" w:rsidR="00983D2D" w:rsidRPr="00C82B60" w:rsidRDefault="000401AF" w:rsidP="00C82B60">
      <w:pPr>
        <w:jc w:val="both"/>
        <w:rPr>
          <w:rFonts w:cs="Times New Roman"/>
          <w:b/>
          <w:sz w:val="24"/>
          <w:szCs w:val="24"/>
        </w:rPr>
      </w:pPr>
      <w:r w:rsidRPr="000401AF">
        <w:rPr>
          <w:rFonts w:cs="Times New Roman"/>
          <w:b/>
          <w:sz w:val="24"/>
          <w:szCs w:val="24"/>
        </w:rPr>
        <w:t>7</w:t>
      </w:r>
      <w:r w:rsidR="00964EE5" w:rsidRPr="000401AF">
        <w:rPr>
          <w:rFonts w:cs="Times New Roman"/>
          <w:b/>
          <w:sz w:val="24"/>
          <w:szCs w:val="24"/>
        </w:rPr>
        <w:t>. Zgodnie z Kodeksem Postępowania Cywilnego, w przypadku śmierci dłużnika przed</w:t>
      </w:r>
      <w:r w:rsidR="00964EE5" w:rsidRPr="00C82B60">
        <w:rPr>
          <w:rFonts w:cs="Times New Roman"/>
          <w:b/>
          <w:sz w:val="24"/>
          <w:szCs w:val="24"/>
        </w:rPr>
        <w:t xml:space="preserve"> wytoczeniem przeciwko niemu powództwa o zapłatę:</w:t>
      </w:r>
    </w:p>
    <w:p w14:paraId="35757858" w14:textId="77777777" w:rsidR="00964EE5" w:rsidRPr="00C82B60" w:rsidRDefault="005666D0" w:rsidP="005666D0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964EE5" w:rsidRPr="00C82B60">
        <w:rPr>
          <w:rFonts w:cs="Times New Roman"/>
          <w:sz w:val="24"/>
          <w:szCs w:val="24"/>
        </w:rPr>
        <w:t xml:space="preserve">powództwo powinno zostać zawieszone do czasu wskazania spadkobierców </w:t>
      </w:r>
      <w:r w:rsidR="0096689A">
        <w:rPr>
          <w:rFonts w:cs="Times New Roman"/>
          <w:sz w:val="24"/>
          <w:szCs w:val="24"/>
        </w:rPr>
        <w:br/>
        <w:t xml:space="preserve">       </w:t>
      </w:r>
      <w:r w:rsidR="00964EE5" w:rsidRPr="00C82B60">
        <w:rPr>
          <w:rFonts w:cs="Times New Roman"/>
          <w:sz w:val="24"/>
          <w:szCs w:val="24"/>
        </w:rPr>
        <w:t>zmarłego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br/>
      </w:r>
      <w:r w:rsidR="00964EE5" w:rsidRPr="00C82B60">
        <w:rPr>
          <w:rFonts w:cs="Times New Roman"/>
          <w:sz w:val="24"/>
          <w:szCs w:val="24"/>
        </w:rPr>
        <w:t>B.</w:t>
      </w:r>
      <w:r>
        <w:rPr>
          <w:rFonts w:cs="Times New Roman"/>
          <w:sz w:val="24"/>
          <w:szCs w:val="24"/>
        </w:rPr>
        <w:t xml:space="preserve"> </w:t>
      </w:r>
      <w:r w:rsidR="00964EE5" w:rsidRPr="00C82B60">
        <w:rPr>
          <w:rFonts w:cs="Times New Roman"/>
          <w:sz w:val="24"/>
          <w:szCs w:val="24"/>
        </w:rPr>
        <w:t xml:space="preserve"> postępowanie toczy się z udziałem kuratora spadku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</w:r>
      <w:r w:rsidR="00964EE5" w:rsidRPr="00C82B60">
        <w:rPr>
          <w:rFonts w:cs="Times New Roman"/>
          <w:sz w:val="24"/>
          <w:szCs w:val="24"/>
        </w:rPr>
        <w:t xml:space="preserve">C. </w:t>
      </w:r>
      <w:r>
        <w:rPr>
          <w:rFonts w:cs="Times New Roman"/>
          <w:sz w:val="24"/>
          <w:szCs w:val="24"/>
        </w:rPr>
        <w:t xml:space="preserve"> </w:t>
      </w:r>
      <w:r w:rsidR="00964EE5" w:rsidRPr="00C82B60">
        <w:rPr>
          <w:rFonts w:cs="Times New Roman"/>
          <w:sz w:val="24"/>
          <w:szCs w:val="24"/>
        </w:rPr>
        <w:t>pozew podlega odrzuceniu</w:t>
      </w:r>
    </w:p>
    <w:p w14:paraId="76968748" w14:textId="77777777" w:rsidR="00836823" w:rsidRPr="00C82B60" w:rsidRDefault="000401AF" w:rsidP="00C82B60">
      <w:pPr>
        <w:jc w:val="both"/>
        <w:rPr>
          <w:rFonts w:cs="Times New Roman"/>
          <w:b/>
          <w:sz w:val="24"/>
          <w:szCs w:val="24"/>
        </w:rPr>
      </w:pPr>
      <w:r w:rsidRPr="000401AF">
        <w:rPr>
          <w:rFonts w:cs="Times New Roman"/>
          <w:b/>
          <w:sz w:val="24"/>
          <w:szCs w:val="24"/>
        </w:rPr>
        <w:t>8</w:t>
      </w:r>
      <w:r w:rsidR="0059785F" w:rsidRPr="000401AF">
        <w:rPr>
          <w:rFonts w:cs="Times New Roman"/>
          <w:b/>
          <w:sz w:val="24"/>
          <w:szCs w:val="24"/>
        </w:rPr>
        <w:t xml:space="preserve">. </w:t>
      </w:r>
      <w:r w:rsidR="00836823" w:rsidRPr="000401AF">
        <w:rPr>
          <w:rFonts w:cs="Times New Roman"/>
          <w:b/>
          <w:sz w:val="24"/>
          <w:szCs w:val="24"/>
        </w:rPr>
        <w:t>Zgodnie z Kodeksem Postępowania Cywilnego, zgłoszenie wniosku o uzupełnienie</w:t>
      </w:r>
      <w:r w:rsidR="00836823" w:rsidRPr="00C82B60">
        <w:rPr>
          <w:rFonts w:cs="Times New Roman"/>
          <w:b/>
          <w:sz w:val="24"/>
          <w:szCs w:val="24"/>
        </w:rPr>
        <w:t xml:space="preserve"> wyroku:</w:t>
      </w:r>
    </w:p>
    <w:p w14:paraId="07D0C1A8" w14:textId="77777777" w:rsidR="00836823" w:rsidRPr="00607DC1" w:rsidRDefault="00607DC1" w:rsidP="00607DC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DE04CE">
        <w:rPr>
          <w:rFonts w:cs="Times New Roman"/>
          <w:sz w:val="24"/>
          <w:szCs w:val="24"/>
        </w:rPr>
        <w:t xml:space="preserve"> </w:t>
      </w:r>
      <w:r w:rsidR="00836823" w:rsidRPr="00607DC1">
        <w:rPr>
          <w:rFonts w:cs="Times New Roman"/>
          <w:sz w:val="24"/>
          <w:szCs w:val="24"/>
        </w:rPr>
        <w:t>nie jest ograniczone terminem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B. </w:t>
      </w:r>
      <w:r w:rsidR="00836823" w:rsidRPr="00607DC1">
        <w:rPr>
          <w:rFonts w:cs="Times New Roman"/>
          <w:sz w:val="24"/>
          <w:szCs w:val="24"/>
        </w:rPr>
        <w:t xml:space="preserve">może nastąpić w terminie trzech tygodni od daty ogłoszenia wyroku lub od dnia </w:t>
      </w:r>
      <w:r w:rsidR="00DE04CE">
        <w:rPr>
          <w:rFonts w:cs="Times New Roman"/>
          <w:sz w:val="24"/>
          <w:szCs w:val="24"/>
        </w:rPr>
        <w:br/>
        <w:t xml:space="preserve">      </w:t>
      </w:r>
      <w:r w:rsidR="00836823" w:rsidRPr="00607DC1">
        <w:rPr>
          <w:rFonts w:cs="Times New Roman"/>
          <w:sz w:val="24"/>
          <w:szCs w:val="24"/>
        </w:rPr>
        <w:t xml:space="preserve">doręczenia odpisu wyroku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C. </w:t>
      </w:r>
      <w:r w:rsidR="00836823" w:rsidRPr="00607DC1">
        <w:rPr>
          <w:rFonts w:cs="Times New Roman"/>
          <w:sz w:val="24"/>
          <w:szCs w:val="24"/>
        </w:rPr>
        <w:t xml:space="preserve">może nastąpić w terminie dwóch tygodni od daty ogłoszenia wyroku lub od dnia </w:t>
      </w:r>
      <w:r>
        <w:rPr>
          <w:rFonts w:cs="Times New Roman"/>
          <w:sz w:val="24"/>
          <w:szCs w:val="24"/>
        </w:rPr>
        <w:br/>
        <w:t xml:space="preserve">     </w:t>
      </w:r>
      <w:r w:rsidR="00836823" w:rsidRPr="00607DC1">
        <w:rPr>
          <w:rFonts w:cs="Times New Roman"/>
          <w:sz w:val="24"/>
          <w:szCs w:val="24"/>
        </w:rPr>
        <w:t xml:space="preserve">doręczenia odpisu wyroku   </w:t>
      </w:r>
    </w:p>
    <w:p w14:paraId="6EA1FE1B" w14:textId="77777777" w:rsidR="00983D2D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 w:rsidRPr="0057608A">
        <w:rPr>
          <w:rFonts w:cs="Times New Roman"/>
          <w:b/>
          <w:sz w:val="24"/>
          <w:szCs w:val="24"/>
        </w:rPr>
        <w:t>9</w:t>
      </w:r>
      <w:r w:rsidR="00D364FD" w:rsidRPr="0057608A">
        <w:rPr>
          <w:rFonts w:cs="Times New Roman"/>
          <w:b/>
          <w:sz w:val="24"/>
          <w:szCs w:val="24"/>
        </w:rPr>
        <w:t>. Zgodnie z Kodeksem Postępowania Cywilnego, zażalenie do innego składu sądu</w:t>
      </w:r>
      <w:r w:rsidR="00D364FD" w:rsidRPr="00C82B60">
        <w:rPr>
          <w:rFonts w:cs="Times New Roman"/>
          <w:b/>
          <w:sz w:val="24"/>
          <w:szCs w:val="24"/>
        </w:rPr>
        <w:t xml:space="preserve"> pierwszej instancji przysługuje na postanowienie tego sądu, którego przedmiotem jest:</w:t>
      </w:r>
    </w:p>
    <w:p w14:paraId="579E34DD" w14:textId="77777777" w:rsidR="00D364FD" w:rsidRPr="00ED0367" w:rsidRDefault="00D364FD" w:rsidP="00C82B60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t>A. zawieszenie postępowania</w:t>
      </w:r>
      <w:r w:rsidR="0096689A">
        <w:rPr>
          <w:rFonts w:cs="Times New Roman"/>
          <w:sz w:val="24"/>
          <w:szCs w:val="24"/>
        </w:rPr>
        <w:tab/>
      </w:r>
      <w:r w:rsidR="0096689A">
        <w:rPr>
          <w:rFonts w:cs="Times New Roman"/>
          <w:sz w:val="24"/>
          <w:szCs w:val="24"/>
        </w:rPr>
        <w:br/>
      </w:r>
      <w:r w:rsidRPr="00ED0367">
        <w:rPr>
          <w:rFonts w:cs="Times New Roman"/>
          <w:sz w:val="24"/>
          <w:szCs w:val="24"/>
        </w:rPr>
        <w:t>B. przekazanie sprawy sądowi równorzędnemu</w:t>
      </w:r>
      <w:r w:rsidR="0096689A" w:rsidRPr="00ED0367">
        <w:rPr>
          <w:rFonts w:cs="Times New Roman"/>
          <w:sz w:val="24"/>
          <w:szCs w:val="24"/>
        </w:rPr>
        <w:tab/>
      </w:r>
      <w:r w:rsidR="0096689A" w:rsidRPr="00ED0367">
        <w:rPr>
          <w:rFonts w:cs="Times New Roman"/>
          <w:sz w:val="24"/>
          <w:szCs w:val="24"/>
        </w:rPr>
        <w:br/>
      </w:r>
      <w:r w:rsidRPr="00ED0367">
        <w:rPr>
          <w:rFonts w:cs="Times New Roman"/>
          <w:sz w:val="24"/>
          <w:szCs w:val="24"/>
        </w:rPr>
        <w:t xml:space="preserve">C. odmowa </w:t>
      </w:r>
      <w:r w:rsidR="00ED0367" w:rsidRPr="00ED0367">
        <w:rPr>
          <w:rFonts w:cs="Times New Roman"/>
          <w:sz w:val="24"/>
          <w:szCs w:val="24"/>
        </w:rPr>
        <w:t xml:space="preserve">ustanowienia adwokata lub radcy prawnego z urzędu </w:t>
      </w:r>
      <w:r w:rsidRPr="00ED0367">
        <w:rPr>
          <w:rFonts w:cs="Times New Roman"/>
          <w:sz w:val="24"/>
          <w:szCs w:val="24"/>
        </w:rPr>
        <w:t xml:space="preserve"> </w:t>
      </w:r>
    </w:p>
    <w:p w14:paraId="6B5EE138" w14:textId="77777777" w:rsidR="00983D2D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10</w:t>
      </w:r>
      <w:r w:rsidR="00D364FD" w:rsidRPr="00C82B60">
        <w:rPr>
          <w:rFonts w:cs="Times New Roman"/>
          <w:sz w:val="24"/>
          <w:szCs w:val="24"/>
        </w:rPr>
        <w:t xml:space="preserve">. </w:t>
      </w:r>
      <w:r w:rsidR="00D364FD" w:rsidRPr="00C82B60">
        <w:rPr>
          <w:rFonts w:cs="Times New Roman"/>
          <w:b/>
          <w:sz w:val="24"/>
          <w:szCs w:val="24"/>
        </w:rPr>
        <w:t xml:space="preserve">Zgodnie z Kodeksem Postępowania Cywilnego, postępowanie zawieszone z powodu zaniechania wskazania aktualnego miejsca zamieszkania pozwanego podlega umorzeniu, jeżeli wniosek o podjęcie tego postępowania nie został złożony w terminie trzech miesięcy od daty: </w:t>
      </w:r>
    </w:p>
    <w:p w14:paraId="31F30081" w14:textId="77777777" w:rsidR="00D364FD" w:rsidRPr="00C82B60" w:rsidRDefault="00D364FD" w:rsidP="00CE17E3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lastRenderedPageBreak/>
        <w:t>A. postanowienia o zawieszeniu postępowania</w:t>
      </w:r>
      <w:r w:rsidR="0096689A">
        <w:rPr>
          <w:rFonts w:cs="Times New Roman"/>
          <w:sz w:val="24"/>
          <w:szCs w:val="24"/>
        </w:rPr>
        <w:t xml:space="preserve"> </w:t>
      </w:r>
      <w:r w:rsidR="0096689A">
        <w:rPr>
          <w:rFonts w:cs="Times New Roman"/>
          <w:sz w:val="24"/>
          <w:szCs w:val="24"/>
        </w:rPr>
        <w:tab/>
      </w:r>
      <w:r w:rsidR="0096689A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doręczenia powodowi odpisu postanowienia o zawieszeniu postępowania</w:t>
      </w:r>
      <w:r w:rsidR="0096689A">
        <w:rPr>
          <w:rFonts w:cs="Times New Roman"/>
          <w:sz w:val="24"/>
          <w:szCs w:val="24"/>
        </w:rPr>
        <w:tab/>
      </w:r>
      <w:r w:rsidR="0096689A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C. prawomocności postanowienia o zawieszeniu postępowania</w:t>
      </w:r>
    </w:p>
    <w:p w14:paraId="526722B7" w14:textId="77777777" w:rsidR="0059785F" w:rsidRPr="00C82B60" w:rsidRDefault="0059785F" w:rsidP="00C82B60">
      <w:pPr>
        <w:jc w:val="both"/>
        <w:rPr>
          <w:rFonts w:cs="Times New Roman"/>
          <w:sz w:val="24"/>
          <w:szCs w:val="24"/>
        </w:rPr>
      </w:pPr>
    </w:p>
    <w:p w14:paraId="59AB95C1" w14:textId="77777777" w:rsidR="00EF0BD6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11</w:t>
      </w:r>
      <w:r w:rsidR="00EF0BD6" w:rsidRPr="000401AF">
        <w:rPr>
          <w:rFonts w:cs="Times New Roman"/>
          <w:b/>
          <w:sz w:val="24"/>
          <w:szCs w:val="24"/>
        </w:rPr>
        <w:t>. Zgodnie z Kodeksem Postępowania Cywilnego, wniosek o przywrócenie terminu</w:t>
      </w:r>
      <w:r w:rsidR="00EF0BD6" w:rsidRPr="00C82B60">
        <w:rPr>
          <w:rFonts w:cs="Times New Roman"/>
          <w:b/>
          <w:sz w:val="24"/>
          <w:szCs w:val="24"/>
        </w:rPr>
        <w:t xml:space="preserve"> niedopuszczalny z mocy ustawy podlega:</w:t>
      </w:r>
    </w:p>
    <w:p w14:paraId="269CEDB3" w14:textId="77777777" w:rsidR="00EF0BD6" w:rsidRPr="00C82B60" w:rsidRDefault="00EF0BD6" w:rsidP="00CE17E3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t>A. oddaleniu</w:t>
      </w:r>
      <w:r w:rsidR="00CE17E3">
        <w:rPr>
          <w:rFonts w:cs="Times New Roman"/>
          <w:sz w:val="24"/>
          <w:szCs w:val="24"/>
        </w:rPr>
        <w:t xml:space="preserve"> </w:t>
      </w:r>
      <w:r w:rsidR="00CE17E3">
        <w:rPr>
          <w:rFonts w:cs="Times New Roman"/>
          <w:sz w:val="24"/>
          <w:szCs w:val="24"/>
        </w:rPr>
        <w:tab/>
      </w:r>
      <w:r w:rsidR="00CE17E3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odrzuceniu</w:t>
      </w:r>
      <w:r w:rsidR="00CE17E3">
        <w:rPr>
          <w:rFonts w:cs="Times New Roman"/>
          <w:sz w:val="24"/>
          <w:szCs w:val="24"/>
        </w:rPr>
        <w:tab/>
      </w:r>
      <w:r w:rsidR="00CE17E3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C. zwrotowi</w:t>
      </w:r>
    </w:p>
    <w:p w14:paraId="6D57A4AC" w14:textId="77777777" w:rsidR="00EF0BD6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12</w:t>
      </w:r>
      <w:r w:rsidR="0096689A" w:rsidRPr="000401AF">
        <w:rPr>
          <w:rFonts w:cs="Times New Roman"/>
          <w:b/>
          <w:sz w:val="24"/>
          <w:szCs w:val="24"/>
        </w:rPr>
        <w:t>.</w:t>
      </w:r>
      <w:r w:rsidR="00EF0BD6" w:rsidRPr="000401AF">
        <w:rPr>
          <w:rFonts w:cs="Times New Roman"/>
          <w:b/>
          <w:sz w:val="24"/>
          <w:szCs w:val="24"/>
        </w:rPr>
        <w:t xml:space="preserve"> Zgodnie z Kodeksem Postępowania Cywilnego, </w:t>
      </w:r>
      <w:r w:rsidR="007D3A20" w:rsidRPr="000401AF">
        <w:rPr>
          <w:rFonts w:cs="Times New Roman"/>
          <w:b/>
          <w:sz w:val="24"/>
          <w:szCs w:val="24"/>
        </w:rPr>
        <w:t>brak drogi sądowej sąd bierze pod</w:t>
      </w:r>
      <w:r w:rsidR="007D3A20" w:rsidRPr="00C82B60">
        <w:rPr>
          <w:rFonts w:cs="Times New Roman"/>
          <w:b/>
          <w:sz w:val="24"/>
          <w:szCs w:val="24"/>
        </w:rPr>
        <w:t xml:space="preserve"> uwagę:</w:t>
      </w:r>
    </w:p>
    <w:p w14:paraId="5655409C" w14:textId="77777777" w:rsidR="007D3A20" w:rsidRPr="00CE17E3" w:rsidRDefault="00CE17E3" w:rsidP="00CE17E3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7D3A20" w:rsidRPr="00CE17E3">
        <w:rPr>
          <w:rFonts w:cs="Times New Roman"/>
          <w:sz w:val="24"/>
          <w:szCs w:val="24"/>
        </w:rPr>
        <w:t>z urzędu w każdym stanie sprawy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B. </w:t>
      </w:r>
      <w:r w:rsidR="007D3A20" w:rsidRPr="00CE17E3">
        <w:rPr>
          <w:rFonts w:cs="Times New Roman"/>
          <w:sz w:val="24"/>
          <w:szCs w:val="24"/>
        </w:rPr>
        <w:t xml:space="preserve">na zarzut pozwanego zgłoszony  i należycie uzasadniony przed wdaniem się w spór  co do </w:t>
      </w:r>
      <w:r>
        <w:rPr>
          <w:rFonts w:cs="Times New Roman"/>
          <w:sz w:val="24"/>
          <w:szCs w:val="24"/>
        </w:rPr>
        <w:br/>
        <w:t xml:space="preserve">     </w:t>
      </w:r>
      <w:r w:rsidR="007D3A20" w:rsidRPr="00CE17E3">
        <w:rPr>
          <w:rFonts w:cs="Times New Roman"/>
          <w:sz w:val="24"/>
          <w:szCs w:val="24"/>
        </w:rPr>
        <w:t xml:space="preserve">istoty sprawy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C. </w:t>
      </w:r>
      <w:r w:rsidR="007D3A20" w:rsidRPr="00CE17E3">
        <w:rPr>
          <w:rFonts w:cs="Times New Roman"/>
          <w:sz w:val="24"/>
          <w:szCs w:val="24"/>
        </w:rPr>
        <w:t>na zarzut powoda zgłoszony przed zamknięciem rozprawy</w:t>
      </w:r>
    </w:p>
    <w:p w14:paraId="1F9C90B1" w14:textId="77777777" w:rsidR="00EF0BD6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13</w:t>
      </w:r>
      <w:r w:rsidR="00EF0BD6" w:rsidRPr="000401AF">
        <w:rPr>
          <w:rFonts w:cs="Times New Roman"/>
          <w:b/>
          <w:sz w:val="24"/>
          <w:szCs w:val="24"/>
        </w:rPr>
        <w:t>. Zgodnie z Kodeksem Postępowania Cywilnego, spóźniony wniosek o doręczenie</w:t>
      </w:r>
      <w:r w:rsidR="00EF0BD6" w:rsidRPr="00C82B60">
        <w:rPr>
          <w:rFonts w:cs="Times New Roman"/>
          <w:b/>
          <w:sz w:val="24"/>
          <w:szCs w:val="24"/>
        </w:rPr>
        <w:t xml:space="preserve"> wyroku z uzasadnieniem podlega:</w:t>
      </w:r>
    </w:p>
    <w:p w14:paraId="54679EFB" w14:textId="77777777" w:rsidR="00EF0BD6" w:rsidRPr="00C82B60" w:rsidRDefault="00EF0BD6" w:rsidP="00CE17E3">
      <w:pPr>
        <w:jc w:val="both"/>
        <w:rPr>
          <w:rFonts w:cs="Times New Roman"/>
          <w:sz w:val="24"/>
          <w:szCs w:val="24"/>
        </w:rPr>
      </w:pPr>
      <w:r w:rsidRPr="00C82B60">
        <w:rPr>
          <w:rFonts w:cs="Times New Roman"/>
          <w:sz w:val="24"/>
          <w:szCs w:val="24"/>
        </w:rPr>
        <w:t>A. odrzuceniu</w:t>
      </w:r>
      <w:r w:rsidR="00CE17E3">
        <w:rPr>
          <w:rFonts w:cs="Times New Roman"/>
          <w:sz w:val="24"/>
          <w:szCs w:val="24"/>
        </w:rPr>
        <w:tab/>
      </w:r>
      <w:r w:rsidR="00CE17E3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>B. oddaleniu</w:t>
      </w:r>
      <w:r w:rsidR="00CE17E3">
        <w:rPr>
          <w:rFonts w:cs="Times New Roman"/>
          <w:sz w:val="24"/>
          <w:szCs w:val="24"/>
        </w:rPr>
        <w:tab/>
      </w:r>
      <w:r w:rsidR="00CE17E3">
        <w:rPr>
          <w:rFonts w:cs="Times New Roman"/>
          <w:sz w:val="24"/>
          <w:szCs w:val="24"/>
        </w:rPr>
        <w:br/>
      </w:r>
      <w:r w:rsidRPr="00C82B60">
        <w:rPr>
          <w:rFonts w:cs="Times New Roman"/>
          <w:sz w:val="24"/>
          <w:szCs w:val="24"/>
        </w:rPr>
        <w:t xml:space="preserve">C. zwrotowi </w:t>
      </w:r>
    </w:p>
    <w:p w14:paraId="264AE45E" w14:textId="77777777" w:rsidR="007D3A20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14</w:t>
      </w:r>
      <w:r w:rsidR="00D0421D" w:rsidRPr="000401AF">
        <w:rPr>
          <w:rFonts w:cs="Times New Roman"/>
          <w:b/>
          <w:sz w:val="24"/>
          <w:szCs w:val="24"/>
        </w:rPr>
        <w:t xml:space="preserve">. </w:t>
      </w:r>
      <w:r w:rsidR="007D3A20" w:rsidRPr="000401AF">
        <w:rPr>
          <w:rFonts w:cs="Times New Roman"/>
          <w:b/>
          <w:sz w:val="24"/>
          <w:szCs w:val="24"/>
        </w:rPr>
        <w:t>Zgodnie z Kodeksem Postępowania Cywilnego, natychmiastowa wykonalność</w:t>
      </w:r>
      <w:r w:rsidR="007D3A20" w:rsidRPr="00C82B60">
        <w:rPr>
          <w:rFonts w:cs="Times New Roman"/>
          <w:b/>
          <w:sz w:val="24"/>
          <w:szCs w:val="24"/>
        </w:rPr>
        <w:t xml:space="preserve">  wyroków w sprawach przeciwko Skarbowi Państwa:</w:t>
      </w:r>
    </w:p>
    <w:p w14:paraId="2227B42E" w14:textId="77777777" w:rsidR="007D3A20" w:rsidRPr="00CE17E3" w:rsidRDefault="00CE17E3" w:rsidP="00CE17E3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7D3A20" w:rsidRPr="00CE17E3">
        <w:rPr>
          <w:rFonts w:cs="Times New Roman"/>
          <w:sz w:val="24"/>
          <w:szCs w:val="24"/>
        </w:rPr>
        <w:t>nie może zostać orzeczona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B. </w:t>
      </w:r>
      <w:r w:rsidR="007D3A20" w:rsidRPr="00CE17E3">
        <w:rPr>
          <w:rFonts w:cs="Times New Roman"/>
          <w:sz w:val="24"/>
          <w:szCs w:val="24"/>
        </w:rPr>
        <w:t xml:space="preserve">może zostać orzeczona za zabezpieczeniem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C. </w:t>
      </w:r>
      <w:r w:rsidR="007D3A20" w:rsidRPr="00CE17E3">
        <w:rPr>
          <w:rFonts w:cs="Times New Roman"/>
          <w:sz w:val="24"/>
          <w:szCs w:val="24"/>
        </w:rPr>
        <w:t>może zostać orzeczona, gdy zasądzono należność z weksla</w:t>
      </w:r>
    </w:p>
    <w:p w14:paraId="68380DDE" w14:textId="77777777" w:rsidR="00EF0BD6" w:rsidRPr="000401AF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15</w:t>
      </w:r>
      <w:r w:rsidR="000401AF" w:rsidRPr="000401AF">
        <w:rPr>
          <w:rFonts w:cs="Times New Roman"/>
          <w:b/>
          <w:sz w:val="24"/>
          <w:szCs w:val="24"/>
        </w:rPr>
        <w:t>.</w:t>
      </w:r>
      <w:r w:rsidR="007D3A20" w:rsidRPr="000401AF">
        <w:rPr>
          <w:rFonts w:cs="Times New Roman"/>
          <w:b/>
          <w:sz w:val="24"/>
          <w:szCs w:val="24"/>
        </w:rPr>
        <w:t xml:space="preserve"> Zgodnie z Kodeksem Postępowania Cywilnego, </w:t>
      </w:r>
      <w:r w:rsidR="00D0421D" w:rsidRPr="000401AF">
        <w:rPr>
          <w:rFonts w:cs="Times New Roman"/>
          <w:b/>
          <w:sz w:val="24"/>
          <w:szCs w:val="24"/>
        </w:rPr>
        <w:t>wniosek o sprostowanie wyroku:</w:t>
      </w:r>
    </w:p>
    <w:p w14:paraId="4978F097" w14:textId="77777777" w:rsidR="00D0421D" w:rsidRPr="00CE17E3" w:rsidRDefault="00CE17E3" w:rsidP="00CE17E3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D0421D" w:rsidRPr="00CE17E3">
        <w:rPr>
          <w:rFonts w:cs="Times New Roman"/>
          <w:sz w:val="24"/>
          <w:szCs w:val="24"/>
        </w:rPr>
        <w:t>należy złożyć w terminie 2 tygodni od ogłoszenia wyroku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B. </w:t>
      </w:r>
      <w:r w:rsidR="00D0421D" w:rsidRPr="00CE17E3">
        <w:rPr>
          <w:rFonts w:cs="Times New Roman"/>
          <w:sz w:val="24"/>
          <w:szCs w:val="24"/>
        </w:rPr>
        <w:t>nie jest ograniczony żadnym terminem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C. </w:t>
      </w:r>
      <w:r w:rsidR="00D0421D" w:rsidRPr="00CE17E3">
        <w:rPr>
          <w:rFonts w:cs="Times New Roman"/>
          <w:sz w:val="24"/>
          <w:szCs w:val="24"/>
        </w:rPr>
        <w:t>należy złożyć  terminie 2 tygodni od wykrycia oczywistej omyłki w wyroku</w:t>
      </w:r>
    </w:p>
    <w:p w14:paraId="3FB29CC2" w14:textId="77777777" w:rsidR="00F45171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16</w:t>
      </w:r>
      <w:r w:rsidR="00D05B45">
        <w:rPr>
          <w:rFonts w:cs="Times New Roman"/>
          <w:sz w:val="24"/>
          <w:szCs w:val="24"/>
        </w:rPr>
        <w:t>.</w:t>
      </w:r>
      <w:r w:rsidR="000D1876" w:rsidRPr="00C82B60">
        <w:rPr>
          <w:rFonts w:cs="Times New Roman"/>
          <w:sz w:val="24"/>
          <w:szCs w:val="24"/>
        </w:rPr>
        <w:t xml:space="preserve"> </w:t>
      </w:r>
      <w:r w:rsidR="00F45171" w:rsidRPr="00C82B60">
        <w:rPr>
          <w:rFonts w:cs="Times New Roman"/>
          <w:b/>
          <w:sz w:val="24"/>
          <w:szCs w:val="24"/>
        </w:rPr>
        <w:t>Zgodnie z Kodeksem Postępowania Cywilnego, ustalenia sądu karnego co do popełnienia przestępstwa</w:t>
      </w:r>
      <w:r w:rsidR="00AD7565">
        <w:rPr>
          <w:rFonts w:cs="Times New Roman"/>
          <w:b/>
          <w:sz w:val="24"/>
          <w:szCs w:val="24"/>
        </w:rPr>
        <w:t>:</w:t>
      </w:r>
      <w:r w:rsidR="00F45171" w:rsidRPr="00C82B60">
        <w:rPr>
          <w:rFonts w:cs="Times New Roman"/>
          <w:b/>
          <w:sz w:val="24"/>
          <w:szCs w:val="24"/>
        </w:rPr>
        <w:t xml:space="preserve"> </w:t>
      </w:r>
    </w:p>
    <w:p w14:paraId="42349864" w14:textId="77777777" w:rsidR="000D1876" w:rsidRPr="00D05B45" w:rsidRDefault="00CE17E3" w:rsidP="00CE17E3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 </w:t>
      </w:r>
      <w:r w:rsidR="00F45171" w:rsidRPr="00CE17E3">
        <w:rPr>
          <w:rFonts w:cs="Times New Roman"/>
          <w:sz w:val="24"/>
          <w:szCs w:val="24"/>
        </w:rPr>
        <w:t xml:space="preserve">nie wiążą sądu </w:t>
      </w:r>
      <w:r w:rsidR="000D1876" w:rsidRPr="00CE17E3">
        <w:rPr>
          <w:rFonts w:cs="Times New Roman"/>
          <w:sz w:val="24"/>
          <w:szCs w:val="24"/>
        </w:rPr>
        <w:t>cywilnego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B. </w:t>
      </w:r>
      <w:r w:rsidR="000D1876" w:rsidRPr="00D05B45">
        <w:rPr>
          <w:rFonts w:cs="Times New Roman"/>
          <w:sz w:val="24"/>
          <w:szCs w:val="24"/>
        </w:rPr>
        <w:t xml:space="preserve">nie wiążą sądu cywilnego, chyba że są stwierdzone prawomocnym postanowieniem </w:t>
      </w:r>
      <w:r>
        <w:rPr>
          <w:rFonts w:cs="Times New Roman"/>
          <w:sz w:val="24"/>
          <w:szCs w:val="24"/>
        </w:rPr>
        <w:br/>
        <w:t xml:space="preserve">      </w:t>
      </w:r>
      <w:r w:rsidR="000D1876" w:rsidRPr="00D05B45">
        <w:rPr>
          <w:rFonts w:cs="Times New Roman"/>
          <w:sz w:val="24"/>
          <w:szCs w:val="24"/>
        </w:rPr>
        <w:t>prokuratora kończącego śledztwo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C. </w:t>
      </w:r>
      <w:r w:rsidR="000D1876" w:rsidRPr="00D05B45">
        <w:rPr>
          <w:rFonts w:cs="Times New Roman"/>
          <w:sz w:val="24"/>
          <w:szCs w:val="24"/>
        </w:rPr>
        <w:t>wiążą sąd cywilny jeżeli są stwierdzone prawomocnym wyrokiem skazującym</w:t>
      </w:r>
    </w:p>
    <w:p w14:paraId="76C70CF7" w14:textId="77777777" w:rsidR="000D1876" w:rsidRPr="00C82B60" w:rsidRDefault="0057608A" w:rsidP="00C82B6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17</w:t>
      </w:r>
      <w:r w:rsidR="00D05B45">
        <w:rPr>
          <w:rFonts w:cs="Times New Roman"/>
          <w:b/>
          <w:sz w:val="24"/>
          <w:szCs w:val="24"/>
        </w:rPr>
        <w:t xml:space="preserve">. </w:t>
      </w:r>
      <w:r w:rsidR="000D1876" w:rsidRPr="00C82B60">
        <w:rPr>
          <w:rFonts w:cs="Times New Roman"/>
          <w:b/>
          <w:sz w:val="24"/>
          <w:szCs w:val="24"/>
        </w:rPr>
        <w:t xml:space="preserve"> Zgodnie z Kodeksem Postępowania Cywilnego, z chwilą d</w:t>
      </w:r>
      <w:r w:rsidR="003D35F0">
        <w:rPr>
          <w:rFonts w:cs="Times New Roman"/>
          <w:b/>
          <w:sz w:val="24"/>
          <w:szCs w:val="24"/>
        </w:rPr>
        <w:t>o</w:t>
      </w:r>
      <w:r w:rsidR="000D1876" w:rsidRPr="00C82B60">
        <w:rPr>
          <w:rFonts w:cs="Times New Roman"/>
          <w:b/>
          <w:sz w:val="24"/>
          <w:szCs w:val="24"/>
        </w:rPr>
        <w:t>ręczenia pozwu</w:t>
      </w:r>
    </w:p>
    <w:p w14:paraId="4D495B5D" w14:textId="77777777" w:rsidR="000D1876" w:rsidRPr="00CE17E3" w:rsidRDefault="00CE17E3" w:rsidP="00CE17E3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0D1876" w:rsidRPr="00CE17E3">
        <w:rPr>
          <w:rFonts w:cs="Times New Roman"/>
          <w:sz w:val="24"/>
          <w:szCs w:val="24"/>
        </w:rPr>
        <w:t>pozwany nie może wytoczyć przeciwko powodowi powództwa wzajemnego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  <w:t xml:space="preserve">B. </w:t>
      </w:r>
      <w:r w:rsidR="000D1876" w:rsidRPr="00CE17E3">
        <w:rPr>
          <w:rFonts w:cs="Times New Roman"/>
          <w:sz w:val="24"/>
          <w:szCs w:val="24"/>
        </w:rPr>
        <w:t xml:space="preserve">nie można wszcząć  między tymi samymi stronami nowego postępowania o to samo roszczenie </w:t>
      </w:r>
      <w:r>
        <w:rPr>
          <w:rFonts w:cs="Times New Roman"/>
          <w:sz w:val="24"/>
          <w:szCs w:val="24"/>
        </w:rPr>
        <w:br/>
        <w:t xml:space="preserve">C. </w:t>
      </w:r>
      <w:r w:rsidR="000D1876" w:rsidRPr="00CE17E3">
        <w:rPr>
          <w:rFonts w:cs="Times New Roman"/>
          <w:sz w:val="24"/>
          <w:szCs w:val="24"/>
        </w:rPr>
        <w:t>pozwany nie może w toku sprawy zbyć przedmiotu objętego sporem</w:t>
      </w:r>
    </w:p>
    <w:p w14:paraId="1242CD8A" w14:textId="77777777" w:rsidR="00B5301E" w:rsidRPr="000401AF" w:rsidRDefault="0057608A" w:rsidP="000401AF">
      <w:pPr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18</w:t>
      </w:r>
      <w:r w:rsidR="000401AF">
        <w:rPr>
          <w:rFonts w:cs="Times New Roman"/>
          <w:b/>
          <w:sz w:val="24"/>
          <w:szCs w:val="24"/>
        </w:rPr>
        <w:t>.</w:t>
      </w:r>
      <w:r w:rsidR="00B5301E" w:rsidRPr="000401AF">
        <w:rPr>
          <w:rFonts w:cs="Times New Roman"/>
          <w:b/>
          <w:sz w:val="24"/>
          <w:szCs w:val="24"/>
        </w:rPr>
        <w:t xml:space="preserve"> Zgodnie z Kodeksem postępowania cywilnego, strony i osoby zainteresowane zawiadamia się o posiedzeniach:</w:t>
      </w:r>
    </w:p>
    <w:p w14:paraId="27D3D6F0" w14:textId="77777777" w:rsidR="00B5301E" w:rsidRPr="00CE17E3" w:rsidRDefault="00CE17E3" w:rsidP="00CE17E3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A. </w:t>
      </w:r>
      <w:r w:rsidR="00B5301E" w:rsidRPr="00CE17E3">
        <w:rPr>
          <w:rFonts w:cs="Times New Roman"/>
          <w:sz w:val="24"/>
          <w:szCs w:val="24"/>
        </w:rPr>
        <w:t>niejawnych,</w:t>
      </w:r>
    </w:p>
    <w:p w14:paraId="04E98AAF" w14:textId="77777777" w:rsidR="00B5301E" w:rsidRPr="00CE17E3" w:rsidRDefault="00CE17E3" w:rsidP="00CE17E3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B. </w:t>
      </w:r>
      <w:r w:rsidR="00B5301E" w:rsidRPr="00CE17E3">
        <w:rPr>
          <w:rFonts w:cs="Times New Roman"/>
          <w:sz w:val="24"/>
          <w:szCs w:val="24"/>
        </w:rPr>
        <w:t>jawnych,</w:t>
      </w:r>
    </w:p>
    <w:p w14:paraId="0E7A18B8" w14:textId="77777777" w:rsidR="00B5301E" w:rsidRPr="00CE17E3" w:rsidRDefault="00CE17E3" w:rsidP="00CE17E3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C. </w:t>
      </w:r>
      <w:r w:rsidR="00B5301E" w:rsidRPr="00CE17E3">
        <w:rPr>
          <w:rFonts w:cs="Times New Roman"/>
          <w:sz w:val="24"/>
          <w:szCs w:val="24"/>
        </w:rPr>
        <w:t>wszystkich.</w:t>
      </w:r>
    </w:p>
    <w:p w14:paraId="7D1306B5" w14:textId="77777777" w:rsidR="000401AF" w:rsidRPr="009D2EB5" w:rsidRDefault="000401AF" w:rsidP="00C82B60">
      <w:pPr>
        <w:spacing w:after="0"/>
        <w:ind w:right="11"/>
        <w:jc w:val="both"/>
        <w:rPr>
          <w:rFonts w:cs="Times New Roman"/>
          <w:b/>
          <w:sz w:val="24"/>
          <w:szCs w:val="24"/>
          <w:u w:val="single"/>
        </w:rPr>
      </w:pPr>
    </w:p>
    <w:p w14:paraId="5DF552FA" w14:textId="77777777" w:rsidR="008B761A" w:rsidRPr="008B761A" w:rsidRDefault="00213D0A" w:rsidP="008B761A">
      <w:pPr>
        <w:jc w:val="both"/>
        <w:rPr>
          <w:rFonts w:eastAsia="Calibri" w:cs="Times New Roman"/>
          <w:b/>
          <w:sz w:val="24"/>
        </w:rPr>
      </w:pPr>
      <w:r>
        <w:rPr>
          <w:rFonts w:cs="Times New Roman"/>
          <w:color w:val="FF0000"/>
          <w:sz w:val="24"/>
          <w:szCs w:val="24"/>
        </w:rPr>
        <w:t xml:space="preserve"> </w:t>
      </w:r>
      <w:r w:rsidR="008B761A" w:rsidRPr="008B761A">
        <w:rPr>
          <w:b/>
          <w:sz w:val="24"/>
          <w:szCs w:val="24"/>
        </w:rPr>
        <w:t>19</w:t>
      </w:r>
      <w:r w:rsidR="008B761A" w:rsidRPr="008B761A">
        <w:rPr>
          <w:rFonts w:eastAsia="Calibri" w:cs="Times New Roman"/>
          <w:b/>
          <w:sz w:val="24"/>
        </w:rPr>
        <w:t>. Zgodnie z Kodeksem postępowania karnego wniosek o przywrócenie terminu do wniesienia zażalenia na postanowienie o uchyleniu poręczenie majątkowego:</w:t>
      </w:r>
    </w:p>
    <w:p w14:paraId="277D192A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wstrzymuje wykonanie tego postanowienia;</w:t>
      </w:r>
    </w:p>
    <w:p w14:paraId="053B19A8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nie wstrzymuje wykonania tego postanowienia;</w:t>
      </w:r>
    </w:p>
    <w:p w14:paraId="4753FAC0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C. jest niedopuszczalny.</w:t>
      </w:r>
    </w:p>
    <w:p w14:paraId="7BC784D8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30403E4B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b/>
          <w:sz w:val="24"/>
        </w:rPr>
      </w:pPr>
      <w:r w:rsidRPr="008B761A">
        <w:rPr>
          <w:rFonts w:eastAsia="Calibri" w:cs="Times New Roman"/>
          <w:b/>
          <w:sz w:val="24"/>
        </w:rPr>
        <w:t>2</w:t>
      </w:r>
      <w:r>
        <w:rPr>
          <w:rFonts w:eastAsia="Calibri" w:cs="Times New Roman"/>
          <w:b/>
          <w:sz w:val="24"/>
        </w:rPr>
        <w:t>0</w:t>
      </w:r>
      <w:r w:rsidRPr="008B761A">
        <w:rPr>
          <w:rFonts w:eastAsia="Calibri" w:cs="Times New Roman"/>
          <w:b/>
          <w:sz w:val="24"/>
        </w:rPr>
        <w:t>. Zgodnie z Kodeksem wykroczeń, nie można wymierzyć kary aresztu lub zastępczej kary aresztu, jeżeli:</w:t>
      </w:r>
    </w:p>
    <w:p w14:paraId="2BA2856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sprawca wykroczenia popełnił czyn po ukończeniu 17 lat a przed ukończeniem 18 lat;</w:t>
      </w:r>
    </w:p>
    <w:p w14:paraId="14E4CF8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sprawca nie był uprzednio ukarany za podobne przestępstwo lub wykroczenie;</w:t>
      </w:r>
    </w:p>
    <w:p w14:paraId="28FA6BB3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C. warunki osobiste sprawcy uniemożliwiają odbycie kary.</w:t>
      </w:r>
    </w:p>
    <w:p w14:paraId="2A027CF5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3C808F0F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eastAsia="Calibri" w:cs="Times New Roman"/>
          <w:b/>
          <w:sz w:val="24"/>
        </w:rPr>
        <w:t>21</w:t>
      </w:r>
      <w:r w:rsidRPr="008B761A">
        <w:rPr>
          <w:rFonts w:eastAsia="Calibri" w:cs="Times New Roman"/>
          <w:b/>
          <w:sz w:val="24"/>
        </w:rPr>
        <w:t>. Zgodnie z Kodeksem wykroczeń, u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karanie uważa się za niebyłe po upływie:</w:t>
      </w:r>
    </w:p>
    <w:p w14:paraId="2AFCF3F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2 lat od wykonania, darowania lub przedawnienia wykonania kary;</w:t>
      </w:r>
    </w:p>
    <w:p w14:paraId="45270E96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3 lat  od wykonania, darowania lub przedawnienia wykonania kary;</w:t>
      </w:r>
    </w:p>
    <w:p w14:paraId="06676684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roku od  wykonania, darowania lub przedawnienia wykonania kary.</w:t>
      </w:r>
    </w:p>
    <w:p w14:paraId="47D47725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3CEBB23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22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 Zgodnie z Kodeksem wykroczeń, jeżeli czyn będący wykroczeniem wyczerpuje jednocześnie znamiona przestępstwa, sąd orzeka karę:</w:t>
      </w:r>
    </w:p>
    <w:p w14:paraId="391FBCEC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tylko za przestępstwo;</w:t>
      </w:r>
    </w:p>
    <w:p w14:paraId="119F6947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za przestępstwo, a za wykroczenie tylko wówczas, jeżeli było popełnione umyślnie;</w:t>
      </w:r>
    </w:p>
    <w:p w14:paraId="2B967D78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lastRenderedPageBreak/>
        <w:t>C. za przestępstwo i za wykroczenie.</w:t>
      </w:r>
    </w:p>
    <w:p w14:paraId="475832AB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1D9CAE4D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23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 Zgodnie z Kodeksem karnym skarbowym, pociągnięcie do odpowiedzialności posiłkowej następuje w formie:</w:t>
      </w:r>
    </w:p>
    <w:p w14:paraId="1ED79432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wyroku nakazowego;</w:t>
      </w:r>
    </w:p>
    <w:p w14:paraId="4F5CFBEF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postanowienia;</w:t>
      </w:r>
    </w:p>
    <w:p w14:paraId="3D39DB6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zarządzenia</w:t>
      </w:r>
    </w:p>
    <w:p w14:paraId="6FA23D74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3E1C78D6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b/>
          <w:sz w:val="24"/>
        </w:rPr>
      </w:pPr>
      <w:r>
        <w:rPr>
          <w:rFonts w:eastAsia="Calibri" w:cs="Times New Roman"/>
          <w:b/>
          <w:sz w:val="24"/>
        </w:rPr>
        <w:t>24</w:t>
      </w:r>
      <w:r w:rsidRPr="008B761A">
        <w:rPr>
          <w:rFonts w:eastAsia="Calibri" w:cs="Times New Roman"/>
          <w:b/>
          <w:sz w:val="24"/>
        </w:rPr>
        <w:t xml:space="preserve">. 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Zgodnie z Kodeksem karnym skarbowym</w:t>
      </w:r>
      <w:r w:rsidRPr="008B761A">
        <w:rPr>
          <w:rFonts w:eastAsia="Calibri" w:cs="Times New Roman"/>
          <w:b/>
          <w:sz w:val="24"/>
        </w:rPr>
        <w:t xml:space="preserve"> jeżeli w czasie popełnienia przestępstwa skarbowego zdolność rozpoznania znaczenia czynu lub kierowania postępowaniem była w znacznym stopniu ograniczona, to sąd:</w:t>
      </w:r>
    </w:p>
    <w:p w14:paraId="65548095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może zastosować nadzwyczajne złagodzenie kary a nie może odstąpić od wymierzenia kary lub środka karnego;</w:t>
      </w:r>
    </w:p>
    <w:p w14:paraId="75D5C1F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orzeka tylko karę grzywny w stawkach dziennych;</w:t>
      </w:r>
    </w:p>
    <w:p w14:paraId="247F523D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eastAsia="Calibri" w:cs="Times New Roman"/>
          <w:sz w:val="24"/>
        </w:rPr>
        <w:t>C. m</w:t>
      </w: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oże orzec karę w wysokości nieprzekraczającej dwóch trzecich górnej granicy ustawowego zagrożenia przewidzianego za przypisane sprawcy przestępstwo skarbowe, a także może zastosować nadzwyczajne złagodzenie kary, a nawet odstąpić od wymierzenia kary lub środka karnego.</w:t>
      </w:r>
    </w:p>
    <w:p w14:paraId="4382AD7A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0745E775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25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 Zgodnie z Kodeksem karnym skarbowym, stosowanie w części ustawy nowej i w części ustawy obowiązującej poprzednio jest:</w:t>
      </w:r>
    </w:p>
    <w:p w14:paraId="1FCD2795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niedopuszczalne;</w:t>
      </w:r>
    </w:p>
    <w:p w14:paraId="1C743BD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dopuszczalne;</w:t>
      </w:r>
    </w:p>
    <w:p w14:paraId="3227C61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dopuszczalne, tylko jeżeli będzie to korzystniejsze dla sprawcy.</w:t>
      </w:r>
    </w:p>
    <w:p w14:paraId="3AE6982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3B66D991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26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 Zgodnie z Kodeksem karnym przedawnienie nie biegnie, jeżeli przepis ustawy nie pozwala na wszczęcie lub dalsze prowadzenie postępowania karnego:</w:t>
      </w:r>
    </w:p>
    <w:p w14:paraId="73B576A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dotyczy to zarówno braku wniosku, jak i oskarżenia prywatnego;</w:t>
      </w:r>
    </w:p>
    <w:p w14:paraId="1394C7FF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lastRenderedPageBreak/>
        <w:t>B. nie dotyczy to jednak braku wniosku albo oskarżenia prywatnego;</w:t>
      </w:r>
    </w:p>
    <w:p w14:paraId="4DC93C74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dotyczy to również braku wniosku, ale nie dotyczy oskarżenia prywatnego.</w:t>
      </w:r>
    </w:p>
    <w:p w14:paraId="3C211E8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5D9D32ED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b/>
          <w:sz w:val="24"/>
        </w:rPr>
      </w:pPr>
      <w:r>
        <w:rPr>
          <w:rFonts w:eastAsia="Calibri" w:cs="Times New Roman"/>
          <w:b/>
          <w:sz w:val="24"/>
        </w:rPr>
        <w:t>27</w:t>
      </w:r>
      <w:r w:rsidRPr="008B761A">
        <w:rPr>
          <w:rFonts w:eastAsia="Calibri" w:cs="Times New Roman"/>
          <w:b/>
          <w:sz w:val="24"/>
        </w:rPr>
        <w:t>. Podjęcie postępowania warunkowo umorzonego jest obligatoryjne, jeżeli sprawca:</w:t>
      </w:r>
    </w:p>
    <w:p w14:paraId="72B7A10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po wydaniu orzeczenia o warunkowym umorzeniu postępowania, lecz przed jego</w:t>
      </w:r>
      <w:r w:rsidRPr="008B761A">
        <w:rPr>
          <w:rFonts w:eastAsia="Calibri" w:cs="Times New Roman"/>
          <w:b/>
          <w:sz w:val="24"/>
        </w:rPr>
        <w:t xml:space="preserve"> </w:t>
      </w:r>
      <w:r w:rsidRPr="008B761A">
        <w:rPr>
          <w:rFonts w:eastAsia="Calibri" w:cs="Times New Roman"/>
          <w:sz w:val="24"/>
        </w:rPr>
        <w:t>uprawomocnieniem się, rażąco naruszał porządek prawny, a w szczególności, gdy w tym czasie popełnił przestępstwo;</w:t>
      </w:r>
    </w:p>
    <w:p w14:paraId="09A9C88A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w okresie próby popełnił umyślne przestępstwo, za które został prawomocnie skazany;</w:t>
      </w:r>
    </w:p>
    <w:p w14:paraId="517F09C2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 xml:space="preserve">C. w okresie próby popełnił jakiekolwiek przestępstwo, za które został prawomocnie skazany. </w:t>
      </w:r>
    </w:p>
    <w:p w14:paraId="11A63717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309C1824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b/>
          <w:sz w:val="24"/>
        </w:rPr>
      </w:pPr>
      <w:r>
        <w:rPr>
          <w:rFonts w:eastAsia="Calibri" w:cs="Times New Roman"/>
          <w:b/>
          <w:sz w:val="24"/>
        </w:rPr>
        <w:t>28</w:t>
      </w:r>
      <w:r w:rsidRPr="008B761A">
        <w:rPr>
          <w:rFonts w:eastAsia="Calibri" w:cs="Times New Roman"/>
          <w:b/>
          <w:sz w:val="24"/>
        </w:rPr>
        <w:t>. Jeżeli ustawa nie stanowi inaczej, a przestępstwo jest zagrożone zarówno karą ograniczenia wolności, jak i karą pozbawienia wolności, karę ograniczenia wolności wymierza się w wysokości nie niższej od 2 miesięcy w przypadku czynu zagrożonego karą pozbawienia wolności:</w:t>
      </w:r>
    </w:p>
    <w:p w14:paraId="6F56EC0D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nieprzekraczającą roku;</w:t>
      </w:r>
    </w:p>
    <w:p w14:paraId="74AA99CB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przekraczającą 2 lata;</w:t>
      </w:r>
    </w:p>
    <w:p w14:paraId="4FDAF050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C. nieprzekraczającą 2 lat.</w:t>
      </w:r>
    </w:p>
    <w:p w14:paraId="1D4218BD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0BBBBED0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b/>
          <w:sz w:val="24"/>
        </w:rPr>
      </w:pPr>
      <w:r>
        <w:rPr>
          <w:rFonts w:eastAsia="Calibri" w:cs="Times New Roman"/>
          <w:b/>
          <w:sz w:val="24"/>
        </w:rPr>
        <w:t>29</w:t>
      </w:r>
      <w:r w:rsidRPr="008B761A">
        <w:rPr>
          <w:rFonts w:eastAsia="Calibri" w:cs="Times New Roman"/>
          <w:b/>
          <w:sz w:val="24"/>
        </w:rPr>
        <w:t>. Zgodnie z kodeksem karnym, sprawca, który w obronie koniecznej nie przekraczając jej granic zabija napastnika godzącego w jego życie:</w:t>
      </w:r>
    </w:p>
    <w:p w14:paraId="3C93F53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nie popełnia czynu zabronionego;</w:t>
      </w:r>
    </w:p>
    <w:p w14:paraId="13336660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nie podlega karze;</w:t>
      </w:r>
    </w:p>
    <w:p w14:paraId="35EB1C1C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C. nie popełnia przestępstwa.</w:t>
      </w:r>
    </w:p>
    <w:p w14:paraId="17A23099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442F0991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b/>
          <w:sz w:val="24"/>
        </w:rPr>
      </w:pPr>
      <w:r>
        <w:rPr>
          <w:rFonts w:eastAsia="Calibri" w:cs="Times New Roman"/>
          <w:b/>
          <w:sz w:val="24"/>
        </w:rPr>
        <w:t>30</w:t>
      </w:r>
      <w:r w:rsidRPr="008B761A">
        <w:rPr>
          <w:rFonts w:eastAsia="Calibri" w:cs="Times New Roman"/>
          <w:b/>
          <w:sz w:val="24"/>
        </w:rPr>
        <w:t>. Zgodnie z kodeksem karnym, ściganie na wniosek pokrzywdzonego następuje w przypadku przestępstwa:</w:t>
      </w:r>
    </w:p>
    <w:p w14:paraId="5B8ECB0D" w14:textId="77777777" w:rsidR="008B761A" w:rsidRPr="008B761A" w:rsidRDefault="008B761A" w:rsidP="008B761A">
      <w:pPr>
        <w:tabs>
          <w:tab w:val="left" w:pos="3888"/>
        </w:tabs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A. zgwałcenia;</w:t>
      </w:r>
      <w:r w:rsidRPr="008B761A">
        <w:rPr>
          <w:rFonts w:eastAsia="Calibri" w:cs="Times New Roman"/>
          <w:sz w:val="24"/>
        </w:rPr>
        <w:tab/>
      </w:r>
    </w:p>
    <w:p w14:paraId="1010A797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B. znieważenia funkcjonariusza publicznego;</w:t>
      </w:r>
    </w:p>
    <w:p w14:paraId="69F9F49D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  <w:r w:rsidRPr="008B761A">
        <w:rPr>
          <w:rFonts w:eastAsia="Calibri" w:cs="Times New Roman"/>
          <w:sz w:val="24"/>
        </w:rPr>
        <w:t>C. niszczenia lub uszkodzenia cudzej rzeczy.</w:t>
      </w:r>
    </w:p>
    <w:p w14:paraId="352A240C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2CB5A14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>
        <w:rPr>
          <w:rFonts w:eastAsia="Calibri" w:cs="Times New Roman"/>
          <w:b/>
          <w:sz w:val="24"/>
        </w:rPr>
        <w:t>31</w:t>
      </w:r>
      <w:r w:rsidRPr="008B761A">
        <w:rPr>
          <w:rFonts w:eastAsia="Calibri" w:cs="Times New Roman"/>
          <w:b/>
          <w:sz w:val="24"/>
        </w:rPr>
        <w:t xml:space="preserve">. Zgodnie z Kodeksem karnym, 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w razie skazania na karę pozbawienia wolności w wysokości 10 lat, nie można wykonać kary, jeżeli od uprawomocnienia się wyroku skazującego upłynęło lat:</w:t>
      </w:r>
    </w:p>
    <w:p w14:paraId="4EF7D344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lastRenderedPageBreak/>
        <w:t>A. 10;</w:t>
      </w:r>
    </w:p>
    <w:p w14:paraId="1470A854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15;</w:t>
      </w:r>
    </w:p>
    <w:p w14:paraId="40F6631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30.</w:t>
      </w:r>
    </w:p>
    <w:p w14:paraId="4743B175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</w:p>
    <w:p w14:paraId="0AFBC261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32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 Zgodnie z kodeksem postępowania Karnego, w sprawach o przestępstwa,  za które ustawa przewiduje karę dożywotniego pozbawienia wolności, sąd orzeka w składzie:</w:t>
      </w:r>
    </w:p>
    <w:p w14:paraId="775CB3CA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trzech sędziów;</w:t>
      </w:r>
    </w:p>
    <w:p w14:paraId="3A6A4132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jednego sędziego i dwóch ławników;</w:t>
      </w:r>
    </w:p>
    <w:p w14:paraId="1953FBE6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dwóch sędziów i trzech ławników.</w:t>
      </w:r>
    </w:p>
    <w:p w14:paraId="45F36D2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33</w:t>
      </w:r>
      <w:r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 Zgodnie z Kodeksem postępowania karnego, organy procesowe prowadzą postępowanie i dokonują czynności:</w:t>
      </w:r>
    </w:p>
    <w:p w14:paraId="26AEB59A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na wniosek pokrzywdzonego;</w:t>
      </w:r>
    </w:p>
    <w:p w14:paraId="17799F47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z urzędu, chyba że ustawa uzależnia je od wniosku określonej osoby, instytucji lub organu albo od zezwolenia władzy;</w:t>
      </w:r>
    </w:p>
    <w:p w14:paraId="2FE02177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zawsze z urzędu.</w:t>
      </w:r>
    </w:p>
    <w:p w14:paraId="44708E5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2D10D38E" w14:textId="77777777" w:rsidR="008B761A" w:rsidRPr="008B761A" w:rsidRDefault="00EF3CDB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eastAsia="Calibri" w:cs="Times New Roman"/>
          <w:b/>
          <w:sz w:val="24"/>
        </w:rPr>
        <w:t>34</w:t>
      </w:r>
      <w:r w:rsidR="008B761A" w:rsidRPr="008B761A">
        <w:rPr>
          <w:rFonts w:eastAsia="Calibri" w:cs="Times New Roman"/>
          <w:b/>
          <w:sz w:val="24"/>
        </w:rPr>
        <w:t xml:space="preserve">. Zgodnie z </w:t>
      </w:r>
      <w:r w:rsidR="008B761A"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Kodeksem postępowania karnego, wydanie wyroku nakazowego jest dopuszczalne w sprawie:</w:t>
      </w:r>
    </w:p>
    <w:p w14:paraId="7990BA69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w której prowadzono dochodzenie;</w:t>
      </w:r>
    </w:p>
    <w:p w14:paraId="404C4774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z oskarżenia prywatnego;</w:t>
      </w:r>
    </w:p>
    <w:p w14:paraId="495E09FA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o zbrodnię.</w:t>
      </w:r>
    </w:p>
    <w:p w14:paraId="37B197AF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3314E293" w14:textId="77777777" w:rsidR="008B761A" w:rsidRPr="008B761A" w:rsidRDefault="00EF3CDB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ascii="Open Sans" w:eastAsia="Calibri" w:hAnsi="Open Sans" w:cs="Times New Roman"/>
          <w:b/>
          <w:sz w:val="24"/>
          <w:shd w:val="clear" w:color="auto" w:fill="FFFFFF"/>
        </w:rPr>
        <w:t>35</w:t>
      </w:r>
      <w:r w:rsidR="008B761A"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.</w:t>
      </w:r>
      <w:r w:rsidR="008B761A" w:rsidRPr="008B761A">
        <w:rPr>
          <w:rFonts w:eastAsia="Calibri" w:cs="Times New Roman"/>
          <w:b/>
          <w:sz w:val="24"/>
        </w:rPr>
        <w:t xml:space="preserve"> Zgodnie z Decyzją ramową rady </w:t>
      </w:r>
      <w:r w:rsidR="008B761A"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w sprawie europejskiego nakazu aresztowania i procedury wydawania osób między Państwami Członkowskimi, zasada specjalności polega na tym, że:</w:t>
      </w:r>
    </w:p>
    <w:p w14:paraId="4344FE9D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lastRenderedPageBreak/>
        <w:t>A.</w:t>
      </w:r>
      <w:r w:rsidRPr="008B761A">
        <w:rPr>
          <w:rFonts w:ascii="Open Sans" w:eastAsia="Calibri" w:hAnsi="Open Sans" w:cs="Times New Roman"/>
          <w:b/>
          <w:sz w:val="23"/>
          <w:szCs w:val="23"/>
          <w:shd w:val="clear" w:color="auto" w:fill="FFFFFF"/>
        </w:rPr>
        <w:t xml:space="preserve">  </w:t>
      </w:r>
      <w:r w:rsidRPr="008B761A">
        <w:rPr>
          <w:rFonts w:ascii="Open Sans" w:eastAsia="Calibri" w:hAnsi="Open Sans" w:cs="Times New Roman"/>
          <w:bCs/>
          <w:sz w:val="23"/>
          <w:szCs w:val="23"/>
          <w:shd w:val="clear" w:color="auto" w:fill="FFFFFF"/>
        </w:rPr>
        <w:t>osoba przekazana może być ścigana, skazana lub pozbawiona wolności za przestępstwo popełnione przed jej przekazaniem, inne niż to, w związku z którym została przekazana</w:t>
      </w:r>
      <w:r w:rsidRPr="008B761A">
        <w:rPr>
          <w:rFonts w:ascii="Open Sans" w:eastAsia="Calibri" w:hAnsi="Open Sans" w:cs="Times New Roman"/>
          <w:sz w:val="23"/>
          <w:szCs w:val="23"/>
          <w:shd w:val="clear" w:color="auto" w:fill="FFFFFF"/>
        </w:rPr>
        <w:t>;</w:t>
      </w:r>
    </w:p>
    <w:p w14:paraId="48E8A56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3"/>
          <w:szCs w:val="23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 xml:space="preserve">B. </w:t>
      </w:r>
      <w:r w:rsidRPr="008B761A">
        <w:rPr>
          <w:rFonts w:ascii="Open Sans" w:eastAsia="Calibri" w:hAnsi="Open Sans" w:cs="Times New Roman"/>
          <w:sz w:val="23"/>
          <w:szCs w:val="23"/>
          <w:shd w:val="clear" w:color="auto" w:fill="FFFFFF"/>
        </w:rPr>
        <w:t> </w:t>
      </w:r>
      <w:r w:rsidRPr="008B761A">
        <w:rPr>
          <w:rFonts w:ascii="Open Sans" w:eastAsia="Calibri" w:hAnsi="Open Sans" w:cs="Times New Roman"/>
          <w:bCs/>
          <w:sz w:val="23"/>
          <w:szCs w:val="23"/>
          <w:shd w:val="clear" w:color="auto" w:fill="FFFFFF"/>
        </w:rPr>
        <w:t>osoba przekazana nie może być ścigana, skazana lub pozbawiona wolności za przestępstwo popełnione przed jej przekazaniem, inne niż to, w związku z którym została przekazana</w:t>
      </w:r>
      <w:r w:rsidRPr="008B761A">
        <w:rPr>
          <w:rFonts w:ascii="Open Sans" w:eastAsia="Calibri" w:hAnsi="Open Sans" w:cs="Times New Roman"/>
          <w:sz w:val="23"/>
          <w:szCs w:val="23"/>
          <w:shd w:val="clear" w:color="auto" w:fill="FFFFFF"/>
        </w:rPr>
        <w:t>;</w:t>
      </w:r>
    </w:p>
    <w:p w14:paraId="201D33A3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3"/>
          <w:szCs w:val="23"/>
          <w:shd w:val="clear" w:color="auto" w:fill="FFFFFF"/>
        </w:rPr>
        <w:t xml:space="preserve">C. </w:t>
      </w:r>
      <w:r w:rsidRPr="008B761A">
        <w:rPr>
          <w:rFonts w:ascii="Open Sans" w:eastAsia="Calibri" w:hAnsi="Open Sans" w:cs="Times New Roman"/>
          <w:bCs/>
          <w:sz w:val="23"/>
          <w:szCs w:val="23"/>
          <w:shd w:val="clear" w:color="auto" w:fill="FFFFFF"/>
        </w:rPr>
        <w:t>osoba przekazana musi być ścigana, skazana lub pozbawiona wolności za przestępstwo popełnione przed jej przekazaniem, inne niż to, w związku z którym została przekazana</w:t>
      </w:r>
      <w:r w:rsidRPr="008B761A">
        <w:rPr>
          <w:rFonts w:ascii="Open Sans" w:eastAsia="Calibri" w:hAnsi="Open Sans" w:cs="Times New Roman"/>
          <w:sz w:val="23"/>
          <w:szCs w:val="23"/>
          <w:shd w:val="clear" w:color="auto" w:fill="FFFFFF"/>
        </w:rPr>
        <w:t>.</w:t>
      </w:r>
    </w:p>
    <w:p w14:paraId="1B52ACF0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4DC139EB" w14:textId="77777777" w:rsidR="008B761A" w:rsidRPr="008B761A" w:rsidRDefault="00EF3CDB" w:rsidP="008B761A">
      <w:pPr>
        <w:spacing w:after="0" w:line="360" w:lineRule="auto"/>
        <w:jc w:val="both"/>
        <w:rPr>
          <w:rFonts w:ascii="Open Sans" w:eastAsia="Calibri" w:hAnsi="Open Sans" w:cs="Times New Roman"/>
          <w:b/>
          <w:sz w:val="24"/>
          <w:shd w:val="clear" w:color="auto" w:fill="FFFFFF"/>
        </w:rPr>
      </w:pPr>
      <w:r>
        <w:rPr>
          <w:rFonts w:eastAsia="Calibri" w:cs="Times New Roman"/>
          <w:b/>
          <w:sz w:val="24"/>
        </w:rPr>
        <w:t>36</w:t>
      </w:r>
      <w:r w:rsidR="008B761A" w:rsidRPr="008B761A">
        <w:rPr>
          <w:rFonts w:eastAsia="Calibri" w:cs="Times New Roman"/>
          <w:sz w:val="24"/>
        </w:rPr>
        <w:t xml:space="preserve">. </w:t>
      </w:r>
      <w:r w:rsidR="008B761A" w:rsidRPr="008B761A">
        <w:rPr>
          <w:rFonts w:eastAsia="Calibri" w:cs="Times New Roman"/>
          <w:b/>
          <w:sz w:val="24"/>
        </w:rPr>
        <w:t xml:space="preserve">Zgodnie z </w:t>
      </w:r>
      <w:r w:rsidR="008B761A" w:rsidRPr="008B761A">
        <w:rPr>
          <w:rFonts w:ascii="Open Sans" w:eastAsia="Calibri" w:hAnsi="Open Sans" w:cs="Times New Roman"/>
          <w:b/>
          <w:sz w:val="24"/>
          <w:shd w:val="clear" w:color="auto" w:fill="FFFFFF"/>
        </w:rPr>
        <w:t>Kodeksem postępowania karnego, jeżeli akt oskarżenia nie odpowiada warunkom formalnym, prezes sądu zwraca go oskarżycielowi w celu usunięcia braków w terminie:</w:t>
      </w:r>
    </w:p>
    <w:p w14:paraId="08D7D832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A. według uznania sądu;</w:t>
      </w:r>
    </w:p>
    <w:p w14:paraId="5B8DB840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B. 14 dni;</w:t>
      </w:r>
    </w:p>
    <w:p w14:paraId="66E25108" w14:textId="77777777" w:rsidR="008B761A" w:rsidRP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  <w:r w:rsidRPr="008B761A">
        <w:rPr>
          <w:rFonts w:ascii="Open Sans" w:eastAsia="Calibri" w:hAnsi="Open Sans" w:cs="Times New Roman"/>
          <w:sz w:val="24"/>
          <w:shd w:val="clear" w:color="auto" w:fill="FFFFFF"/>
        </w:rPr>
        <w:t>C. 7 dni.</w:t>
      </w:r>
    </w:p>
    <w:p w14:paraId="134B7B52" w14:textId="77777777" w:rsidR="00755C10" w:rsidRDefault="00755C10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51C6C358" w14:textId="77777777" w:rsidR="00EF3CDB" w:rsidRDefault="00EF3CDB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5140D68B" w14:textId="77777777" w:rsidR="00EF3CDB" w:rsidRDefault="00EF3CDB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3F736897" w14:textId="77777777" w:rsidR="00806E21" w:rsidRDefault="00806E21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</w:p>
    <w:p w14:paraId="49803761" w14:textId="77777777" w:rsidR="00755C10" w:rsidRPr="00755C10" w:rsidRDefault="00755C10" w:rsidP="00755C10">
      <w:pPr>
        <w:spacing w:after="0" w:line="360" w:lineRule="auto"/>
        <w:jc w:val="center"/>
        <w:rPr>
          <w:rFonts w:eastAsia="Calibri" w:cs="Times New Roman"/>
          <w:b/>
          <w:sz w:val="28"/>
          <w:szCs w:val="28"/>
        </w:rPr>
      </w:pPr>
      <w:r w:rsidRPr="00755C10">
        <w:rPr>
          <w:rFonts w:eastAsia="Calibri" w:cs="Times New Roman"/>
          <w:b/>
          <w:sz w:val="28"/>
          <w:szCs w:val="28"/>
        </w:rPr>
        <w:t>Część II - opisowa</w:t>
      </w:r>
    </w:p>
    <w:p w14:paraId="56D96BDD" w14:textId="77777777" w:rsidR="008B761A" w:rsidRDefault="008B761A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6E0BDF24" w14:textId="77777777" w:rsidR="00755C10" w:rsidRPr="008B761A" w:rsidRDefault="00755C10" w:rsidP="008B761A">
      <w:pPr>
        <w:spacing w:after="0" w:line="360" w:lineRule="auto"/>
        <w:jc w:val="both"/>
        <w:rPr>
          <w:rFonts w:ascii="Open Sans" w:eastAsia="Calibri" w:hAnsi="Open Sans" w:cs="Times New Roman"/>
          <w:sz w:val="24"/>
          <w:shd w:val="clear" w:color="auto" w:fill="FFFFFF"/>
        </w:rPr>
      </w:pPr>
    </w:p>
    <w:p w14:paraId="587C4A75" w14:textId="77777777" w:rsidR="008B761A" w:rsidRDefault="008B761A" w:rsidP="008B761A">
      <w:pPr>
        <w:jc w:val="both"/>
        <w:rPr>
          <w:rFonts w:cs="Times New Roman"/>
          <w:b/>
          <w:sz w:val="24"/>
          <w:szCs w:val="24"/>
        </w:rPr>
      </w:pPr>
      <w:r w:rsidRPr="00B85B49">
        <w:rPr>
          <w:rFonts w:cs="Times New Roman"/>
          <w:b/>
          <w:sz w:val="24"/>
          <w:szCs w:val="24"/>
        </w:rPr>
        <w:t xml:space="preserve">Temat z prawa </w:t>
      </w:r>
      <w:r>
        <w:rPr>
          <w:rFonts w:cs="Times New Roman"/>
          <w:b/>
          <w:sz w:val="24"/>
          <w:szCs w:val="24"/>
        </w:rPr>
        <w:t>karnego</w:t>
      </w:r>
    </w:p>
    <w:p w14:paraId="33415760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  <w:szCs w:val="24"/>
        </w:rPr>
      </w:pPr>
      <w:r w:rsidRPr="008B761A">
        <w:rPr>
          <w:rFonts w:eastAsia="Calibri" w:cs="Times New Roman"/>
          <w:sz w:val="24"/>
          <w:szCs w:val="24"/>
        </w:rPr>
        <w:t>Warunkowe umorzenie postępowania karnego.  Na czym polega, podstawy stosowania. Kiedy należy podjąć umorzone postępowanie.</w:t>
      </w:r>
    </w:p>
    <w:p w14:paraId="6CC1D4CA" w14:textId="77777777" w:rsidR="008B761A" w:rsidRPr="008B761A" w:rsidRDefault="008B761A" w:rsidP="008B761A">
      <w:pPr>
        <w:spacing w:after="0" w:line="360" w:lineRule="auto"/>
        <w:jc w:val="both"/>
        <w:rPr>
          <w:rFonts w:eastAsia="Calibri" w:cs="Times New Roman"/>
          <w:sz w:val="24"/>
        </w:rPr>
      </w:pPr>
    </w:p>
    <w:p w14:paraId="630D3E32" w14:textId="77777777" w:rsidR="008B761A" w:rsidRPr="008B761A" w:rsidRDefault="008B761A" w:rsidP="008B761A">
      <w:pPr>
        <w:spacing w:after="0" w:line="360" w:lineRule="auto"/>
        <w:rPr>
          <w:rFonts w:eastAsia="Calibri" w:cs="Times New Roman"/>
          <w:sz w:val="24"/>
        </w:rPr>
      </w:pPr>
    </w:p>
    <w:p w14:paraId="0E17E4E6" w14:textId="77777777" w:rsidR="006009F9" w:rsidRPr="006D2A68" w:rsidRDefault="006009F9" w:rsidP="00851E42">
      <w:pPr>
        <w:jc w:val="both"/>
        <w:rPr>
          <w:color w:val="FF0000"/>
          <w:sz w:val="24"/>
          <w:szCs w:val="24"/>
        </w:rPr>
      </w:pPr>
    </w:p>
    <w:p w14:paraId="45B51223" w14:textId="77777777" w:rsidR="009D2EB5" w:rsidRDefault="00B85B49" w:rsidP="00851E42">
      <w:pPr>
        <w:jc w:val="both"/>
        <w:rPr>
          <w:rFonts w:cs="Times New Roman"/>
          <w:b/>
          <w:sz w:val="24"/>
          <w:szCs w:val="24"/>
        </w:rPr>
      </w:pPr>
      <w:r w:rsidRPr="00B85B49">
        <w:rPr>
          <w:rFonts w:cs="Times New Roman"/>
          <w:b/>
          <w:sz w:val="24"/>
          <w:szCs w:val="24"/>
        </w:rPr>
        <w:t>Temat z prawa cywilnego</w:t>
      </w:r>
    </w:p>
    <w:p w14:paraId="4E85A699" w14:textId="77777777" w:rsidR="00B85B49" w:rsidRPr="00B85B49" w:rsidRDefault="00B85B49" w:rsidP="00851E42">
      <w:pPr>
        <w:jc w:val="both"/>
        <w:rPr>
          <w:rFonts w:cs="Times New Roman"/>
          <w:sz w:val="24"/>
          <w:szCs w:val="24"/>
        </w:rPr>
      </w:pPr>
      <w:r w:rsidRPr="00B85B49">
        <w:rPr>
          <w:rFonts w:cs="Times New Roman"/>
          <w:sz w:val="24"/>
          <w:szCs w:val="24"/>
        </w:rPr>
        <w:lastRenderedPageBreak/>
        <w:t>Wady oświadczenia woli – błąd i podstęp</w:t>
      </w:r>
      <w:r>
        <w:rPr>
          <w:rFonts w:cs="Times New Roman"/>
          <w:sz w:val="24"/>
          <w:szCs w:val="24"/>
        </w:rPr>
        <w:t xml:space="preserve">. Opisz oraz przeanalizuj skutki tych wad oświadczenia woli. </w:t>
      </w:r>
    </w:p>
    <w:sectPr w:rsidR="00B85B49" w:rsidRPr="00B85B49" w:rsidSect="001135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3212C" w14:textId="77777777" w:rsidR="00B24218" w:rsidRDefault="00B24218" w:rsidP="00EF275C">
      <w:pPr>
        <w:spacing w:after="0" w:line="240" w:lineRule="auto"/>
      </w:pPr>
      <w:r>
        <w:separator/>
      </w:r>
    </w:p>
  </w:endnote>
  <w:endnote w:type="continuationSeparator" w:id="0">
    <w:p w14:paraId="6C4BF68C" w14:textId="77777777" w:rsidR="00B24218" w:rsidRDefault="00B24218" w:rsidP="00EF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9441121"/>
      <w:docPartObj>
        <w:docPartGallery w:val="Page Numbers (Bottom of Page)"/>
        <w:docPartUnique/>
      </w:docPartObj>
    </w:sdtPr>
    <w:sdtEndPr/>
    <w:sdtContent>
      <w:p w14:paraId="249E7295" w14:textId="77777777" w:rsidR="00EF275C" w:rsidRDefault="00EF27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06D">
          <w:rPr>
            <w:noProof/>
          </w:rPr>
          <w:t>1</w:t>
        </w:r>
        <w:r>
          <w:fldChar w:fldCharType="end"/>
        </w:r>
      </w:p>
    </w:sdtContent>
  </w:sdt>
  <w:p w14:paraId="6D9E8E73" w14:textId="77777777" w:rsidR="00EF275C" w:rsidRDefault="00EF27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52C45" w14:textId="77777777" w:rsidR="00B24218" w:rsidRDefault="00B24218" w:rsidP="00EF275C">
      <w:pPr>
        <w:spacing w:after="0" w:line="240" w:lineRule="auto"/>
      </w:pPr>
      <w:r>
        <w:separator/>
      </w:r>
    </w:p>
  </w:footnote>
  <w:footnote w:type="continuationSeparator" w:id="0">
    <w:p w14:paraId="1AEB4367" w14:textId="77777777" w:rsidR="00B24218" w:rsidRDefault="00B24218" w:rsidP="00EF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562DB"/>
    <w:multiLevelType w:val="hybridMultilevel"/>
    <w:tmpl w:val="90F2FB9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3364B"/>
    <w:multiLevelType w:val="hybridMultilevel"/>
    <w:tmpl w:val="26DE8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15EB2"/>
    <w:multiLevelType w:val="hybridMultilevel"/>
    <w:tmpl w:val="4D1A59A6"/>
    <w:lvl w:ilvl="0" w:tplc="B76891A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F4C8E"/>
    <w:multiLevelType w:val="hybridMultilevel"/>
    <w:tmpl w:val="70BC5B22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05541"/>
    <w:multiLevelType w:val="hybridMultilevel"/>
    <w:tmpl w:val="A0AC6202"/>
    <w:lvl w:ilvl="0" w:tplc="FE0249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CF524B"/>
    <w:multiLevelType w:val="hybridMultilevel"/>
    <w:tmpl w:val="CDC823AC"/>
    <w:lvl w:ilvl="0" w:tplc="ADF05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CF0E53"/>
    <w:multiLevelType w:val="hybridMultilevel"/>
    <w:tmpl w:val="BFBE63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05C55"/>
    <w:multiLevelType w:val="hybridMultilevel"/>
    <w:tmpl w:val="C5BEB8A6"/>
    <w:lvl w:ilvl="0" w:tplc="406012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1207C3"/>
    <w:multiLevelType w:val="hybridMultilevel"/>
    <w:tmpl w:val="7916B914"/>
    <w:lvl w:ilvl="0" w:tplc="BD7E4616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C2635B"/>
    <w:multiLevelType w:val="hybridMultilevel"/>
    <w:tmpl w:val="3F9EED66"/>
    <w:lvl w:ilvl="0" w:tplc="1BEC6FB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17CB8"/>
    <w:multiLevelType w:val="hybridMultilevel"/>
    <w:tmpl w:val="156E77A4"/>
    <w:lvl w:ilvl="0" w:tplc="31CA6454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514363"/>
    <w:multiLevelType w:val="hybridMultilevel"/>
    <w:tmpl w:val="9122392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F1369"/>
    <w:multiLevelType w:val="hybridMultilevel"/>
    <w:tmpl w:val="B8121D2C"/>
    <w:lvl w:ilvl="0" w:tplc="11EAB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E1166B"/>
    <w:multiLevelType w:val="hybridMultilevel"/>
    <w:tmpl w:val="2026BD4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D0B28"/>
    <w:multiLevelType w:val="hybridMultilevel"/>
    <w:tmpl w:val="33DCC56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71F8D"/>
    <w:multiLevelType w:val="hybridMultilevel"/>
    <w:tmpl w:val="69846946"/>
    <w:lvl w:ilvl="0" w:tplc="28887162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773BCD"/>
    <w:multiLevelType w:val="hybridMultilevel"/>
    <w:tmpl w:val="FDD44E4A"/>
    <w:lvl w:ilvl="0" w:tplc="5974109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08901D5"/>
    <w:multiLevelType w:val="hybridMultilevel"/>
    <w:tmpl w:val="3F9E25F8"/>
    <w:lvl w:ilvl="0" w:tplc="C40E04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B75569"/>
    <w:multiLevelType w:val="hybridMultilevel"/>
    <w:tmpl w:val="FF002F9E"/>
    <w:lvl w:ilvl="0" w:tplc="0C44EF0A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E405A4"/>
    <w:multiLevelType w:val="hybridMultilevel"/>
    <w:tmpl w:val="A7CE102C"/>
    <w:lvl w:ilvl="0" w:tplc="B4721066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D38B5"/>
    <w:multiLevelType w:val="hybridMultilevel"/>
    <w:tmpl w:val="DC74D8E6"/>
    <w:lvl w:ilvl="0" w:tplc="78C0B8F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170C9"/>
    <w:multiLevelType w:val="hybridMultilevel"/>
    <w:tmpl w:val="93B28382"/>
    <w:lvl w:ilvl="0" w:tplc="8C0ADF1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D25DA"/>
    <w:multiLevelType w:val="hybridMultilevel"/>
    <w:tmpl w:val="EA507D7C"/>
    <w:lvl w:ilvl="0" w:tplc="73924992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0411500"/>
    <w:multiLevelType w:val="hybridMultilevel"/>
    <w:tmpl w:val="C8E238C4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B2E0F"/>
    <w:multiLevelType w:val="hybridMultilevel"/>
    <w:tmpl w:val="B276F5C0"/>
    <w:lvl w:ilvl="0" w:tplc="819E2E5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24AE8"/>
    <w:multiLevelType w:val="hybridMultilevel"/>
    <w:tmpl w:val="BA1090B6"/>
    <w:lvl w:ilvl="0" w:tplc="29E4979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E79E3"/>
    <w:multiLevelType w:val="hybridMultilevel"/>
    <w:tmpl w:val="7910F100"/>
    <w:lvl w:ilvl="0" w:tplc="27C296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5275B2"/>
    <w:multiLevelType w:val="hybridMultilevel"/>
    <w:tmpl w:val="9828A6A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A31D1"/>
    <w:multiLevelType w:val="hybridMultilevel"/>
    <w:tmpl w:val="CF6AB5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F60ED"/>
    <w:multiLevelType w:val="hybridMultilevel"/>
    <w:tmpl w:val="04E2BC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A2C68"/>
    <w:multiLevelType w:val="hybridMultilevel"/>
    <w:tmpl w:val="88A6C786"/>
    <w:lvl w:ilvl="0" w:tplc="1D3C07B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87298"/>
    <w:multiLevelType w:val="hybridMultilevel"/>
    <w:tmpl w:val="B4FCB218"/>
    <w:lvl w:ilvl="0" w:tplc="CA743E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9A750B7"/>
    <w:multiLevelType w:val="hybridMultilevel"/>
    <w:tmpl w:val="AD58B96E"/>
    <w:lvl w:ilvl="0" w:tplc="18C223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57969"/>
    <w:multiLevelType w:val="hybridMultilevel"/>
    <w:tmpl w:val="B344AB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96761"/>
    <w:multiLevelType w:val="hybridMultilevel"/>
    <w:tmpl w:val="AD10D66C"/>
    <w:lvl w:ilvl="0" w:tplc="9BF489B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0"/>
  </w:num>
  <w:num w:numId="3">
    <w:abstractNumId w:val="24"/>
  </w:num>
  <w:num w:numId="4">
    <w:abstractNumId w:val="9"/>
  </w:num>
  <w:num w:numId="5">
    <w:abstractNumId w:val="21"/>
  </w:num>
  <w:num w:numId="6">
    <w:abstractNumId w:val="30"/>
  </w:num>
  <w:num w:numId="7">
    <w:abstractNumId w:val="2"/>
  </w:num>
  <w:num w:numId="8">
    <w:abstractNumId w:val="11"/>
  </w:num>
  <w:num w:numId="9">
    <w:abstractNumId w:val="28"/>
  </w:num>
  <w:num w:numId="10">
    <w:abstractNumId w:val="32"/>
  </w:num>
  <w:num w:numId="11">
    <w:abstractNumId w:val="12"/>
  </w:num>
  <w:num w:numId="12">
    <w:abstractNumId w:val="34"/>
  </w:num>
  <w:num w:numId="13">
    <w:abstractNumId w:val="16"/>
  </w:num>
  <w:num w:numId="14">
    <w:abstractNumId w:val="7"/>
  </w:num>
  <w:num w:numId="15">
    <w:abstractNumId w:val="26"/>
  </w:num>
  <w:num w:numId="16">
    <w:abstractNumId w:val="18"/>
  </w:num>
  <w:num w:numId="17">
    <w:abstractNumId w:val="4"/>
  </w:num>
  <w:num w:numId="18">
    <w:abstractNumId w:val="31"/>
  </w:num>
  <w:num w:numId="19">
    <w:abstractNumId w:val="5"/>
  </w:num>
  <w:num w:numId="20">
    <w:abstractNumId w:val="8"/>
  </w:num>
  <w:num w:numId="21">
    <w:abstractNumId w:val="15"/>
  </w:num>
  <w:num w:numId="22">
    <w:abstractNumId w:val="10"/>
  </w:num>
  <w:num w:numId="23">
    <w:abstractNumId w:val="17"/>
  </w:num>
  <w:num w:numId="24">
    <w:abstractNumId w:val="22"/>
  </w:num>
  <w:num w:numId="25">
    <w:abstractNumId w:val="25"/>
  </w:num>
  <w:num w:numId="26">
    <w:abstractNumId w:val="19"/>
  </w:num>
  <w:num w:numId="27">
    <w:abstractNumId w:val="0"/>
  </w:num>
  <w:num w:numId="28">
    <w:abstractNumId w:val="23"/>
  </w:num>
  <w:num w:numId="29">
    <w:abstractNumId w:val="1"/>
  </w:num>
  <w:num w:numId="30">
    <w:abstractNumId w:val="14"/>
  </w:num>
  <w:num w:numId="31">
    <w:abstractNumId w:val="27"/>
  </w:num>
  <w:num w:numId="32">
    <w:abstractNumId w:val="3"/>
  </w:num>
  <w:num w:numId="33">
    <w:abstractNumId w:val="29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DFF"/>
    <w:rsid w:val="000246E8"/>
    <w:rsid w:val="00036301"/>
    <w:rsid w:val="000401AF"/>
    <w:rsid w:val="0006020A"/>
    <w:rsid w:val="000670EB"/>
    <w:rsid w:val="000847EE"/>
    <w:rsid w:val="000C0340"/>
    <w:rsid w:val="000D1876"/>
    <w:rsid w:val="000E45F4"/>
    <w:rsid w:val="0011355E"/>
    <w:rsid w:val="001451F6"/>
    <w:rsid w:val="00171F78"/>
    <w:rsid w:val="001A0D72"/>
    <w:rsid w:val="001B0F18"/>
    <w:rsid w:val="00213D0A"/>
    <w:rsid w:val="003118AB"/>
    <w:rsid w:val="003413E8"/>
    <w:rsid w:val="003837F4"/>
    <w:rsid w:val="003B03BD"/>
    <w:rsid w:val="003D35F0"/>
    <w:rsid w:val="003D77DD"/>
    <w:rsid w:val="003F2514"/>
    <w:rsid w:val="0046406D"/>
    <w:rsid w:val="004B72E2"/>
    <w:rsid w:val="004E7C86"/>
    <w:rsid w:val="0053417D"/>
    <w:rsid w:val="005666D0"/>
    <w:rsid w:val="0057608A"/>
    <w:rsid w:val="0059785F"/>
    <w:rsid w:val="005F3860"/>
    <w:rsid w:val="006009F9"/>
    <w:rsid w:val="00607DC1"/>
    <w:rsid w:val="00617300"/>
    <w:rsid w:val="00654073"/>
    <w:rsid w:val="00657128"/>
    <w:rsid w:val="006B0145"/>
    <w:rsid w:val="006D2A68"/>
    <w:rsid w:val="0072084D"/>
    <w:rsid w:val="00755C10"/>
    <w:rsid w:val="007A2D1B"/>
    <w:rsid w:val="007D3A20"/>
    <w:rsid w:val="007F3130"/>
    <w:rsid w:val="00806E21"/>
    <w:rsid w:val="00836823"/>
    <w:rsid w:val="00844263"/>
    <w:rsid w:val="00851E42"/>
    <w:rsid w:val="00860A7E"/>
    <w:rsid w:val="008B761A"/>
    <w:rsid w:val="008D63D5"/>
    <w:rsid w:val="00900692"/>
    <w:rsid w:val="00914FD4"/>
    <w:rsid w:val="009266AC"/>
    <w:rsid w:val="00964EE5"/>
    <w:rsid w:val="0096689A"/>
    <w:rsid w:val="00983D2D"/>
    <w:rsid w:val="009B12F5"/>
    <w:rsid w:val="009D2EB5"/>
    <w:rsid w:val="009F02B3"/>
    <w:rsid w:val="00A24402"/>
    <w:rsid w:val="00A4558F"/>
    <w:rsid w:val="00A57B93"/>
    <w:rsid w:val="00A61673"/>
    <w:rsid w:val="00A62DFF"/>
    <w:rsid w:val="00A6352F"/>
    <w:rsid w:val="00AD7565"/>
    <w:rsid w:val="00B06F2C"/>
    <w:rsid w:val="00B07B8F"/>
    <w:rsid w:val="00B24218"/>
    <w:rsid w:val="00B5301E"/>
    <w:rsid w:val="00B653B5"/>
    <w:rsid w:val="00B85B49"/>
    <w:rsid w:val="00BC19C2"/>
    <w:rsid w:val="00C82B60"/>
    <w:rsid w:val="00CB26DF"/>
    <w:rsid w:val="00CE17E3"/>
    <w:rsid w:val="00D0421D"/>
    <w:rsid w:val="00D05B45"/>
    <w:rsid w:val="00D17EB2"/>
    <w:rsid w:val="00D364FD"/>
    <w:rsid w:val="00D62AAD"/>
    <w:rsid w:val="00D80078"/>
    <w:rsid w:val="00DE04CE"/>
    <w:rsid w:val="00DE18F7"/>
    <w:rsid w:val="00E1258E"/>
    <w:rsid w:val="00E1482D"/>
    <w:rsid w:val="00E723F2"/>
    <w:rsid w:val="00EA1A08"/>
    <w:rsid w:val="00EA246B"/>
    <w:rsid w:val="00EB1073"/>
    <w:rsid w:val="00ED0367"/>
    <w:rsid w:val="00EF0BD6"/>
    <w:rsid w:val="00EF275C"/>
    <w:rsid w:val="00EF3CDB"/>
    <w:rsid w:val="00F23B49"/>
    <w:rsid w:val="00F45171"/>
    <w:rsid w:val="00FE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9A11"/>
  <w15:docId w15:val="{B7E6AF18-F2C1-4919-857F-EA449436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5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F2C"/>
    <w:pPr>
      <w:ind w:left="720"/>
      <w:contextualSpacing/>
    </w:pPr>
  </w:style>
  <w:style w:type="table" w:styleId="Tabela-Siatka">
    <w:name w:val="Table Grid"/>
    <w:basedOn w:val="Standardowy"/>
    <w:uiPriority w:val="59"/>
    <w:rsid w:val="00A6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F02B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F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75C"/>
  </w:style>
  <w:style w:type="paragraph" w:styleId="Stopka">
    <w:name w:val="footer"/>
    <w:basedOn w:val="Normalny"/>
    <w:link w:val="StopkaZnak"/>
    <w:uiPriority w:val="99"/>
    <w:unhideWhenUsed/>
    <w:rsid w:val="00EF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A1320-0D69-4FD7-B9CC-DCF443C7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1633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Kulik</dc:creator>
  <cp:lastModifiedBy>Siebert Alicja</cp:lastModifiedBy>
  <cp:revision>2</cp:revision>
  <cp:lastPrinted>2024-04-19T11:55:00Z</cp:lastPrinted>
  <dcterms:created xsi:type="dcterms:W3CDTF">2026-07-29T07:50:00Z</dcterms:created>
  <dcterms:modified xsi:type="dcterms:W3CDTF">2026-07-29T07:50:00Z</dcterms:modified>
</cp:coreProperties>
</file>