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9A6" w:rsidRPr="00A57E81" w:rsidRDefault="004579A6" w:rsidP="004579A6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b/>
          <w:sz w:val="24"/>
          <w:szCs w:val="24"/>
        </w:rPr>
        <w:t xml:space="preserve">TEST NA KONKURS NA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A57E81">
        <w:rPr>
          <w:rFonts w:ascii="Times New Roman" w:hAnsi="Times New Roman" w:cs="Times New Roman"/>
          <w:b/>
          <w:sz w:val="24"/>
          <w:szCs w:val="24"/>
        </w:rPr>
        <w:t xml:space="preserve"> STANOWISKA ASYSTENTA SĘDZIEGO </w:t>
      </w:r>
    </w:p>
    <w:p w:rsidR="004579A6" w:rsidRPr="00A57E81" w:rsidRDefault="004579A6" w:rsidP="004579A6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b/>
          <w:sz w:val="24"/>
          <w:szCs w:val="24"/>
        </w:rPr>
        <w:t>W SĄDZIE APELACYJNYM W SZCZECINIE</w:t>
      </w:r>
    </w:p>
    <w:p w:rsidR="004579A6" w:rsidRPr="00A57E81" w:rsidRDefault="004579A6" w:rsidP="004579A6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b/>
          <w:sz w:val="24"/>
          <w:szCs w:val="24"/>
        </w:rPr>
        <w:t xml:space="preserve">PRZEPROWADZANY </w:t>
      </w:r>
      <w:r w:rsidR="00004692">
        <w:rPr>
          <w:rFonts w:ascii="Times New Roman" w:hAnsi="Times New Roman" w:cs="Times New Roman"/>
          <w:b/>
          <w:sz w:val="24"/>
          <w:szCs w:val="24"/>
        </w:rPr>
        <w:t>18 GRUDNIA</w:t>
      </w:r>
      <w:r w:rsidR="00004692" w:rsidRPr="00A57E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7E81">
        <w:rPr>
          <w:rFonts w:ascii="Times New Roman" w:hAnsi="Times New Roman" w:cs="Times New Roman"/>
          <w:b/>
          <w:sz w:val="24"/>
          <w:szCs w:val="24"/>
        </w:rPr>
        <w:t xml:space="preserve">2023 R. </w:t>
      </w:r>
    </w:p>
    <w:p w:rsidR="004579A6" w:rsidRPr="00A57E81" w:rsidRDefault="004579A6" w:rsidP="004579A6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b/>
          <w:sz w:val="24"/>
          <w:szCs w:val="24"/>
        </w:rPr>
        <w:t>(Kd-1120-</w:t>
      </w:r>
      <w:r w:rsidR="00004692">
        <w:rPr>
          <w:rFonts w:ascii="Times New Roman" w:hAnsi="Times New Roman" w:cs="Times New Roman"/>
          <w:b/>
          <w:sz w:val="24"/>
          <w:szCs w:val="24"/>
        </w:rPr>
        <w:t>20</w:t>
      </w:r>
      <w:r w:rsidRPr="00A57E81">
        <w:rPr>
          <w:rFonts w:ascii="Times New Roman" w:hAnsi="Times New Roman" w:cs="Times New Roman"/>
          <w:b/>
          <w:sz w:val="24"/>
          <w:szCs w:val="24"/>
        </w:rPr>
        <w:t>/23)</w:t>
      </w:r>
    </w:p>
    <w:p w:rsidR="004579A6" w:rsidRDefault="004579A6" w:rsidP="00B217FE">
      <w:pPr>
        <w:spacing w:after="0" w:line="276" w:lineRule="auto"/>
        <w:ind w:left="360" w:hanging="360"/>
        <w:jc w:val="both"/>
      </w:pPr>
    </w:p>
    <w:p w:rsidR="002704E9" w:rsidRPr="00004692" w:rsidRDefault="002704E9" w:rsidP="004579A6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Zgodnie z Kodeksem cywilnym, ograniczoną zdolność do czynności prawnych mają: </w:t>
      </w:r>
    </w:p>
    <w:p w:rsidR="002704E9" w:rsidRPr="00004692" w:rsidRDefault="002704E9" w:rsidP="00B217FE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osoby ubezwłasnowolnione całkowicie, </w:t>
      </w:r>
    </w:p>
    <w:p w:rsidR="002704E9" w:rsidRPr="00004692" w:rsidRDefault="002704E9" w:rsidP="00B217FE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małoletni, którzy ukończyli lat dziesięć, oraz osoby ubezwłasnowolnione całkowicie, </w:t>
      </w:r>
    </w:p>
    <w:p w:rsidR="002704E9" w:rsidRPr="00004692" w:rsidRDefault="002704E9" w:rsidP="00B217FE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małoletni, którzy ukończyli lat trzynaście, jeżeli nie zostali ubezwłasnowolnieni całkowicie, oraz osoby ubezwłasnowolnione częściowo.</w:t>
      </w:r>
    </w:p>
    <w:p w:rsidR="002704E9" w:rsidRPr="00004692" w:rsidRDefault="002704E9" w:rsidP="00B217F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4E9" w:rsidRPr="00004692" w:rsidRDefault="002704E9" w:rsidP="00B217FE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Zgodnie z Kodeksem cywilnym, po upływie terminu przedawnienia roszczenia majątkowego biegnącego przeciwko osobie niebędącej konsumentem: </w:t>
      </w:r>
    </w:p>
    <w:p w:rsidR="002704E9" w:rsidRPr="00004692" w:rsidRDefault="002704E9" w:rsidP="00B217FE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roszczenie to wygasa, </w:t>
      </w:r>
    </w:p>
    <w:p w:rsidR="002704E9" w:rsidRPr="00004692" w:rsidRDefault="002704E9" w:rsidP="00B217FE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 xml:space="preserve">osoba ta może uchylić się od jego zaspokojenia, chyba że zrzeka się korzystania z zarzutu przedawnienia; jednakże zrzeczenie się zarzutu przedawnienia przed upływem terminu jest nieważne, </w:t>
      </w:r>
    </w:p>
    <w:p w:rsidR="002704E9" w:rsidRPr="00004692" w:rsidRDefault="002704E9" w:rsidP="00B217FE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osoba ta nie może być pozwana o to roszczenie; w takiej sytuacji sąd odrzuca pozew. </w:t>
      </w:r>
    </w:p>
    <w:p w:rsidR="002704E9" w:rsidRPr="00004692" w:rsidRDefault="002704E9" w:rsidP="00B217F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4E9" w:rsidRPr="00004692" w:rsidRDefault="002704E9" w:rsidP="00B217FE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Zgodnie z Kodeksem cywilnym, nieruchomość można obciążyć na rzecz właściciela innej nieruchomości (nieruchomości władnącej) między innymi prawem, którego treść polega na tym, że właściciel nieruchomości władnącej może korzystać w oznaczonym zakresie z nieruchomości obciążonej (służebność gruntowa); taka służebność: </w:t>
      </w:r>
    </w:p>
    <w:p w:rsidR="002704E9" w:rsidRPr="00004692" w:rsidRDefault="002704E9" w:rsidP="00B217F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w żadnym wypadku nie może być nabyta przez zasiedzenie, </w:t>
      </w:r>
    </w:p>
    <w:p w:rsidR="002704E9" w:rsidRPr="00004692" w:rsidRDefault="002704E9" w:rsidP="00B217F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 xml:space="preserve">może być nabyta przez zasiedzenie tylko w wypadku, gdy polega na korzystaniu z trwałego i widocznego urządzenia, </w:t>
      </w:r>
    </w:p>
    <w:p w:rsidR="002704E9" w:rsidRDefault="002704E9" w:rsidP="00B217F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może być nabyta przez zasiedzenie niezależnie od tego, czy polega na korzystaniu z trwałego i widocznego urządzenia.</w:t>
      </w:r>
    </w:p>
    <w:p w:rsidR="009D6BC0" w:rsidRPr="00004692" w:rsidRDefault="009D6BC0" w:rsidP="009D6BC0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4E9" w:rsidRPr="00004692" w:rsidRDefault="002704E9" w:rsidP="00B217FE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Zgodnie z Kodeksem cywilnym, zobowiązany do odszkodowania ponosi odpowiedzialność tylko za normalne następstwa działania lub zaniechania, z którego szkoda wynikła; w powyższych granicach, w braku odmiennego przepisu ustawy lub postanowienia umowy, naprawienie szkody obejmuje: </w:t>
      </w:r>
    </w:p>
    <w:p w:rsidR="002704E9" w:rsidRPr="00004692" w:rsidRDefault="002704E9" w:rsidP="00B217FE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jedynie straty, które poszkodowany poniósł, </w:t>
      </w:r>
    </w:p>
    <w:p w:rsidR="002704E9" w:rsidRPr="00004692" w:rsidRDefault="002704E9" w:rsidP="00B217FE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jedynie korzyści, które poszkodowany mógłby osiągnąć, gdyby mu szkody nie wyrządzono, </w:t>
      </w:r>
    </w:p>
    <w:p w:rsidR="002704E9" w:rsidRPr="00004692" w:rsidRDefault="002704E9" w:rsidP="00B217FE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straty, które poszkodowany poniósł, oraz korzyści, które mógłby osiągnąć, gdyby mu szkody nie wyrządzono.</w:t>
      </w:r>
    </w:p>
    <w:p w:rsidR="002704E9" w:rsidRPr="00004692" w:rsidRDefault="002704E9" w:rsidP="00B217F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4E9" w:rsidRPr="00004692" w:rsidRDefault="002704E9" w:rsidP="00B217FE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Zgodnie z Kodeksem cywilnym, w braku odmiennego zastrzeżenia umownego albo zwyczaju zadatek dany przy zawarciu umowy ma to znaczenie, że w razie niewykonania umowy przez jedną ze stron (gdy umowa nie uległa rozwiązaniu, a niewykonanie umowy nie nastąpiło wskutek okoliczności, za które żadna ze stron nie ponosi odpowiedzialności albo za które ponoszą odpowiedzialność obie strony), druga strona może: </w:t>
      </w:r>
    </w:p>
    <w:p w:rsidR="002704E9" w:rsidRPr="00004692" w:rsidRDefault="002704E9" w:rsidP="00B217FE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bez wyznaczenia terminu dodatkowego od umowy odstąpić i otrzymany zadatek zachować, a jeżeli sama go dała, może żądać sumy dwukrotnie wyższej, </w:t>
      </w:r>
    </w:p>
    <w:p w:rsidR="002704E9" w:rsidRPr="00004692" w:rsidRDefault="002704E9" w:rsidP="00B217FE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po wyznaczeniu terminu dodatkowego od umowy odstąpić i zwrócić otrzymany zadatek, a jeżeli sama go dała, nie może żądać jego zwrotu, </w:t>
      </w:r>
    </w:p>
    <w:p w:rsidR="002704E9" w:rsidRPr="00004692" w:rsidRDefault="002704E9" w:rsidP="00B217FE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bez wyznaczenia terminu dodatkowego od umowy odstąpić i otrzymany zadatek zachować, a jeżeli sama go dała, może żądać sumy trzykrotnie wyższej.</w:t>
      </w:r>
    </w:p>
    <w:p w:rsidR="002704E9" w:rsidRPr="00004692" w:rsidRDefault="002704E9" w:rsidP="00B217F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4E9" w:rsidRPr="00004692" w:rsidRDefault="002704E9" w:rsidP="00B217FE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Zgodnie z Kodeksem cywilnym, jeżeli termin zwrotu pożyczki nie jest oznaczony, dłużnik obowiązany jest zwrócić pożyczkę: </w:t>
      </w:r>
    </w:p>
    <w:p w:rsidR="002704E9" w:rsidRPr="00004692" w:rsidRDefault="002704E9" w:rsidP="00B217FE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niezwłocznie po wypowiedzeniu przez dającego pożyczkę, </w:t>
      </w:r>
    </w:p>
    <w:p w:rsidR="002704E9" w:rsidRPr="00004692" w:rsidRDefault="002704E9" w:rsidP="00B217FE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w ciągu 30 dni po wypowiedzeniu przez dającego pożyczkę, </w:t>
      </w:r>
    </w:p>
    <w:p w:rsidR="002704E9" w:rsidRPr="00004692" w:rsidRDefault="002704E9" w:rsidP="00B217FE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w ciągu sześciu tygodni po wypowiedzeniu przez dającego pożyczkę.</w:t>
      </w:r>
    </w:p>
    <w:p w:rsidR="002704E9" w:rsidRPr="00004692" w:rsidRDefault="002704E9" w:rsidP="00B217F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4E9" w:rsidRPr="00004692" w:rsidRDefault="002704E9" w:rsidP="00B217FE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Zgodnie z ustawą o własności lokali, w razie zaskarżenia do sądu uchwały właścicieli lokali, zaskarżona uchwała: </w:t>
      </w:r>
    </w:p>
    <w:p w:rsidR="002704E9" w:rsidRPr="00004692" w:rsidRDefault="002704E9" w:rsidP="00B217FE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traci moc z chwilą wniesienia pozwu, </w:t>
      </w:r>
    </w:p>
    <w:p w:rsidR="002704E9" w:rsidRPr="00004692" w:rsidRDefault="002704E9" w:rsidP="00B217FE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 xml:space="preserve">podlega wykonaniu, chyba że sąd wstrzyma jej wykonanie do czasu zakończenia sprawy, </w:t>
      </w:r>
    </w:p>
    <w:p w:rsidR="002704E9" w:rsidRPr="00004692" w:rsidRDefault="002704E9" w:rsidP="00B217FE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nie podlega wykonaniu od chwili wniesienia pozwu, chyba że sąd stwierdzi jej wykonalność.</w:t>
      </w:r>
    </w:p>
    <w:p w:rsidR="002704E9" w:rsidRPr="00004692" w:rsidRDefault="002704E9" w:rsidP="00B217F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4E9" w:rsidRPr="00004692" w:rsidRDefault="002704E9" w:rsidP="00B217FE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Zgodnie z Kodeksem postępowania cywilnego, w zakresie czynności przewodniczącego asystent sędziego może wydawać: </w:t>
      </w:r>
    </w:p>
    <w:p w:rsidR="002704E9" w:rsidRPr="00004692" w:rsidRDefault="002704E9" w:rsidP="00B217FE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wszystkie zarządzenia, </w:t>
      </w:r>
    </w:p>
    <w:p w:rsidR="002704E9" w:rsidRPr="00004692" w:rsidRDefault="002704E9" w:rsidP="00B217FE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wszystkie postanowienia, </w:t>
      </w:r>
    </w:p>
    <w:p w:rsidR="002704E9" w:rsidRPr="00004692" w:rsidRDefault="002704E9" w:rsidP="00B217FE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 xml:space="preserve">zarządzenia, z wyjątkiem zarządzenia o zwrocie pisma procesowego, w tym pozwu. </w:t>
      </w:r>
    </w:p>
    <w:p w:rsidR="002704E9" w:rsidRPr="00004692" w:rsidRDefault="002704E9" w:rsidP="00B217F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4E9" w:rsidRPr="00004692" w:rsidRDefault="002704E9" w:rsidP="00B217FE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Zgodnie z Kodeksem postępowania cywilnego, w sprawach o prawa majątkowe sąd drugiej instancji nie może zmienić wyroku na niekorzyść strony wnoszącej apelację: </w:t>
      </w:r>
    </w:p>
    <w:p w:rsidR="002704E9" w:rsidRPr="00004692" w:rsidRDefault="002704E9" w:rsidP="00B217FE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w żadnym przypadku, </w:t>
      </w:r>
    </w:p>
    <w:p w:rsidR="002704E9" w:rsidRPr="00004692" w:rsidRDefault="002704E9" w:rsidP="00B217FE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 xml:space="preserve">chyba że strona przeciwna również wniosła apelację, </w:t>
      </w:r>
    </w:p>
    <w:p w:rsidR="002704E9" w:rsidRPr="00004692" w:rsidRDefault="002704E9" w:rsidP="00B217FE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chyba że przemawiają za tym zasady współżycia społecznego. </w:t>
      </w:r>
    </w:p>
    <w:p w:rsidR="002704E9" w:rsidRPr="00004692" w:rsidRDefault="002704E9" w:rsidP="00B217F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4E9" w:rsidRPr="00004692" w:rsidRDefault="002704E9" w:rsidP="00B217FE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bookmarkStart w:id="0" w:name="_Hlk152700423"/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Zgodnie z Kodeksem postępowania cywilnego, Sąd drugiej instancji uzasadnia z urzędu wyrok oraz postanowienie kończące postępowanie w sprawie, z wyjątkiem spraw w których: </w:t>
      </w:r>
    </w:p>
    <w:p w:rsidR="002704E9" w:rsidRPr="00004692" w:rsidRDefault="002704E9" w:rsidP="00B217FE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 xml:space="preserve">apelację oddalono lub zmieniono zaskarżony wyrok; </w:t>
      </w:r>
    </w:p>
    <w:p w:rsidR="002704E9" w:rsidRPr="00004692" w:rsidRDefault="002704E9" w:rsidP="00B217FE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uchylono wyrok i przekazano sprawę do ponownego rozpoznania</w:t>
      </w:r>
    </w:p>
    <w:p w:rsidR="002704E9" w:rsidRPr="00004692" w:rsidRDefault="002704E9" w:rsidP="00B217FE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uchylono wyrok i umorzono postępowanie w sprawie lub odrzucono pozew</w:t>
      </w:r>
      <w:bookmarkEnd w:id="0"/>
      <w:r w:rsidRPr="00004692">
        <w:rPr>
          <w:rFonts w:ascii="Times New Roman" w:hAnsi="Times New Roman" w:cs="Times New Roman"/>
          <w:sz w:val="24"/>
          <w:szCs w:val="24"/>
        </w:rPr>
        <w:t>.</w:t>
      </w:r>
    </w:p>
    <w:p w:rsidR="002704E9" w:rsidRPr="00004692" w:rsidRDefault="002704E9" w:rsidP="00B217F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4E9" w:rsidRPr="00004692" w:rsidRDefault="002704E9" w:rsidP="00B217FE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Zgodnie z Kodeksem postępowania cywilnego, zażalenie do innego składu sądu drugiej instancji przysługuje na postanowienia tego sądu o:</w:t>
      </w:r>
    </w:p>
    <w:p w:rsidR="002704E9" w:rsidRPr="00004692" w:rsidRDefault="002704E9" w:rsidP="00B217F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oddaleniu wniosku o zabezpieczenie, </w:t>
      </w:r>
    </w:p>
    <w:p w:rsidR="002704E9" w:rsidRPr="00004692" w:rsidRDefault="002704E9" w:rsidP="00B217F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uwzględnieniu wniosku o zwolnienie od kosztów sądowych,</w:t>
      </w:r>
    </w:p>
    <w:p w:rsidR="002704E9" w:rsidRPr="00004692" w:rsidRDefault="002704E9" w:rsidP="00B217F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 xml:space="preserve">oddaleniu wniosku o wyłączenie sędziego, </w:t>
      </w:r>
    </w:p>
    <w:p w:rsidR="002704E9" w:rsidRPr="00004692" w:rsidRDefault="002704E9" w:rsidP="00B217F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4E9" w:rsidRPr="00004692" w:rsidRDefault="002704E9" w:rsidP="00B217FE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Zgodnie z Kodeksem postępowania cywilnego, na postanowienie sądu drugiej instancji o odrzuceniu apelacji: </w:t>
      </w:r>
    </w:p>
    <w:p w:rsidR="002704E9" w:rsidRPr="00004692" w:rsidRDefault="002704E9" w:rsidP="00B217FE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przysługuje</w:t>
      </w:r>
      <w:bookmarkStart w:id="1" w:name="_GoBack"/>
      <w:bookmarkEnd w:id="1"/>
      <w:r w:rsidRPr="00004692">
        <w:rPr>
          <w:rFonts w:ascii="Times New Roman" w:hAnsi="Times New Roman" w:cs="Times New Roman"/>
          <w:sz w:val="24"/>
          <w:szCs w:val="24"/>
        </w:rPr>
        <w:t xml:space="preserve"> skarga kasacyjna,</w:t>
      </w:r>
    </w:p>
    <w:p w:rsidR="002704E9" w:rsidRPr="00004692" w:rsidRDefault="002704E9" w:rsidP="00B217FE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 xml:space="preserve">przysługuje zażalenie do innego składu tego sądu, </w:t>
      </w:r>
    </w:p>
    <w:p w:rsidR="002704E9" w:rsidRPr="00004692" w:rsidRDefault="002704E9" w:rsidP="00B217FE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przysługuje zażalenie do Sądu Najwyższego.</w:t>
      </w:r>
    </w:p>
    <w:p w:rsidR="00377CDA" w:rsidRPr="00004692" w:rsidRDefault="00377CDA" w:rsidP="00B217F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E7A" w:rsidRPr="00004692" w:rsidRDefault="00712E7A" w:rsidP="00B217FE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w sprawach o zbrodnie, w których nie zachodzi szczególna zawiłość, na rozprawie sąd okręgowy orzeka w składzie:</w:t>
      </w:r>
    </w:p>
    <w:p w:rsidR="00712E7A" w:rsidRPr="00004692" w:rsidRDefault="00712E7A" w:rsidP="004D6AEB">
      <w:pPr>
        <w:pStyle w:val="Akapitzlist"/>
        <w:numPr>
          <w:ilvl w:val="1"/>
          <w:numId w:val="9"/>
        </w:numPr>
        <w:spacing w:after="20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jednego sędziego,</w:t>
      </w:r>
    </w:p>
    <w:p w:rsidR="00712E7A" w:rsidRPr="00004692" w:rsidRDefault="00712E7A" w:rsidP="004D6AEB">
      <w:pPr>
        <w:pStyle w:val="Akapitzlist"/>
        <w:numPr>
          <w:ilvl w:val="1"/>
          <w:numId w:val="9"/>
        </w:numPr>
        <w:spacing w:after="200" w:line="276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jednego sędziego i dwóch ławników,</w:t>
      </w:r>
    </w:p>
    <w:p w:rsidR="00712E7A" w:rsidRPr="00004692" w:rsidRDefault="00712E7A" w:rsidP="004D6AEB">
      <w:pPr>
        <w:pStyle w:val="Akapitzlist"/>
        <w:numPr>
          <w:ilvl w:val="1"/>
          <w:numId w:val="9"/>
        </w:numPr>
        <w:spacing w:after="20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trzech sędziów.</w:t>
      </w:r>
    </w:p>
    <w:p w:rsidR="001E31A5" w:rsidRPr="00004692" w:rsidRDefault="001E31A5" w:rsidP="00B217FE">
      <w:pPr>
        <w:pStyle w:val="Akapitzlist"/>
        <w:spacing w:after="200"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712E7A" w:rsidRPr="00004692" w:rsidRDefault="00712E7A" w:rsidP="00B217FE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>Zgodnie z Kodeksem karnym, sąd orzeka przepadek pojazdu służącego do popełnienia przestępstwa prowadzenia pojazdu w stanie nietrzeźwości:</w:t>
      </w:r>
    </w:p>
    <w:p w:rsidR="001E31A5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gdy zawartość alkoholu we krwi przekracza 0,5 promila lub zawartość alkoholu w wydychanym powietrzu przekracza 0,25 mg w 1 dm3,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gdy zawartość alkoholu we krwi przekracza 0,8 promila lub zawartość alkoholu w wydychanym powietrzu przekracza 0,4 mg w 1 dm3,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gdy zawartość alkoholu we krwi przekracza 1,5 promila lub zawartość alkoholu w wydychanym powietrzu przekracza 0,75 mg w 1 dm3.</w:t>
      </w:r>
    </w:p>
    <w:p w:rsidR="001E31A5" w:rsidRPr="00004692" w:rsidRDefault="001E31A5" w:rsidP="00B217FE">
      <w:pPr>
        <w:pStyle w:val="Akapitzlist"/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2E7A" w:rsidRPr="00004692" w:rsidRDefault="00712E7A" w:rsidP="00B217FE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przedłużenie tymczasowego aresztowania w toku postępowania przygotowawczego na okres powyżej roku może dokonać: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tylko sąd właściwy do rozpoznania sprawy,</w:t>
      </w:r>
    </w:p>
    <w:p w:rsidR="001E31A5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tylko sąd apelacyjny,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sąd właściwy do rozpoznania sprawy, gdy okres tymczasowego aresztowania przekracza rok, a nie przekracza 2 lat, zaś powyżej 2 lat – tylko sąd apelacyjny.</w:t>
      </w:r>
    </w:p>
    <w:p w:rsidR="001E31A5" w:rsidRPr="00004692" w:rsidRDefault="001E31A5" w:rsidP="00B217FE">
      <w:pPr>
        <w:pStyle w:val="Akapitzlist"/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2E7A" w:rsidRPr="00004692" w:rsidRDefault="00712E7A" w:rsidP="00B217FE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04692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w przypadku, gdy sąd okręgowy rozpozna sprawę należącą do właściwości rzeczowej sądu rejonowego, uchybienie to stanowi: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względną przyczynę odwoławczą,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bezwzględną przyczynę odwoławczą,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sąd okręgowy zawsze może rozpoznać sprawę należącą do właściwości sądu niższej instancji.</w:t>
      </w:r>
    </w:p>
    <w:p w:rsidR="00B429FA" w:rsidRPr="00004692" w:rsidRDefault="00B429FA" w:rsidP="00B217FE">
      <w:pPr>
        <w:pStyle w:val="Akapitzlist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B2E52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w pierwszej instancji w sprawach o zbrodnie właściwy jest: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zawsze sąd okręgowy,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sąd okręgowy jest właściwy tylko w sprawach o zbrodnie określone w Kodeksie karnym,</w:t>
      </w:r>
    </w:p>
    <w:p w:rsidR="00712E7A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sąd okręgowy jest właściwy, ale tylko w przypadku zbrodni zagrożonych karą 25 lat pozbawienia wolności albo dożywotniego pozbawienia wolności.</w:t>
      </w:r>
    </w:p>
    <w:p w:rsidR="009D6BC0" w:rsidRDefault="009D6BC0" w:rsidP="009D6BC0">
      <w:pPr>
        <w:pStyle w:val="Akapitzlist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6BC0" w:rsidRDefault="009D6BC0" w:rsidP="009D6BC0">
      <w:pPr>
        <w:pStyle w:val="Akapitzlist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B2E52">
        <w:rPr>
          <w:rFonts w:ascii="Times New Roman" w:hAnsi="Times New Roman" w:cs="Times New Roman"/>
          <w:b/>
          <w:color w:val="0070C0"/>
          <w:sz w:val="24"/>
          <w:szCs w:val="24"/>
        </w:rPr>
        <w:t>Zgodnie z Kodeksem karnym, terminowa kara pozbawienia wolności może zostać orzeczona w wymiarze: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do 15 lat,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do 25 lat,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do 30 lat.</w:t>
      </w:r>
    </w:p>
    <w:p w:rsidR="00B429FA" w:rsidRPr="00004692" w:rsidRDefault="00B429FA" w:rsidP="00B217FE">
      <w:pPr>
        <w:pStyle w:val="Akapitzlist"/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B2E52">
        <w:rPr>
          <w:rFonts w:ascii="Times New Roman" w:hAnsi="Times New Roman" w:cs="Times New Roman"/>
          <w:b/>
          <w:color w:val="0070C0"/>
          <w:sz w:val="24"/>
          <w:szCs w:val="24"/>
        </w:rPr>
        <w:t>Według Kodeksu karnego usiłowanie jest: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zawsze karalne,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karalne, gdy ustawa tak stanowi,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zawsze karalne, ale sąd może w każdym przypadku zastosować nadzwyczajne złagodzenie kary.</w:t>
      </w:r>
    </w:p>
    <w:p w:rsidR="00B429FA" w:rsidRPr="00004692" w:rsidRDefault="00B429FA" w:rsidP="00B217FE">
      <w:pPr>
        <w:pStyle w:val="Akapitzlist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B2E52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w sprawie zawiłej albo z innych ważnych powodów, sąd może odroczyć wydanie wyroku na czas nie przekraczający: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14 dni,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21 dni,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35 dni.</w:t>
      </w:r>
    </w:p>
    <w:p w:rsidR="00B429FA" w:rsidRPr="00004692" w:rsidRDefault="00B429FA" w:rsidP="00B217FE">
      <w:pPr>
        <w:pStyle w:val="Akapitzlist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B2E52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apelację od wyroku orzekającego karę 25 lat pozbawienia wolności, w której prokurator domaga się podwyższenia kary do dożywotniego pozbawienia wolności sąd rozpoznaje w składzie: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trzech sędziów,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pięciu sędziów,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siedmiu sędziów.</w:t>
      </w:r>
    </w:p>
    <w:p w:rsidR="00B429FA" w:rsidRPr="00004692" w:rsidRDefault="00B429FA" w:rsidP="00B217FE">
      <w:pPr>
        <w:pStyle w:val="Akapitzlist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E7A" w:rsidRPr="00004692" w:rsidRDefault="00712E7A" w:rsidP="00B217FE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BC0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terminy do wnoszenia środków</w:t>
      </w:r>
      <w:r w:rsidRPr="009D6BC0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004692">
        <w:rPr>
          <w:rFonts w:ascii="Times New Roman" w:hAnsi="Times New Roman" w:cs="Times New Roman"/>
          <w:sz w:val="24"/>
          <w:szCs w:val="24"/>
        </w:rPr>
        <w:t>zaskarżenia są: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prekluzyjne,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instrukcyjne,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zawite.</w:t>
      </w:r>
    </w:p>
    <w:p w:rsidR="00B429FA" w:rsidRPr="00004692" w:rsidRDefault="00B429FA" w:rsidP="00B217FE">
      <w:pPr>
        <w:pStyle w:val="Akapitzlist"/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B2E52">
        <w:rPr>
          <w:rFonts w:ascii="Times New Roman" w:hAnsi="Times New Roman" w:cs="Times New Roman"/>
          <w:b/>
          <w:color w:val="0070C0"/>
          <w:sz w:val="24"/>
          <w:szCs w:val="24"/>
        </w:rPr>
        <w:t>Zgodnie z Kodeksem karnym wykonawczym, wykonywanie kary pozbawienia wolności z zastosowaniem systemu dozoru elektronicznego jest możliwe: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gdy kara pozbawienia wolności nie przekracza 12 miesięcy,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gdy kara pozbawienia wolności nie przekracza 18 miesięcy,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gdy kara pozbawienia wolności nie przekracza 24 miesięcy.</w:t>
      </w:r>
    </w:p>
    <w:p w:rsidR="00B429FA" w:rsidRPr="00004692" w:rsidRDefault="00B429FA" w:rsidP="00B217FE">
      <w:pPr>
        <w:pStyle w:val="Akapitzlist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B2E52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na wydane w toku postępowania odwoławczego postanowienie sądu apelacyjnego przedłużające tymczasowe aresztowanie: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zażalenie nie przysługuje,</w:t>
      </w:r>
    </w:p>
    <w:p w:rsidR="00B429F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zażalenie przysługuje do Sądu Najwyższego,</w:t>
      </w:r>
    </w:p>
    <w:p w:rsidR="00712E7A" w:rsidRPr="00004692" w:rsidRDefault="00712E7A" w:rsidP="00B217FE">
      <w:pPr>
        <w:pStyle w:val="Akapitzlist"/>
        <w:numPr>
          <w:ilvl w:val="1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b/>
          <w:sz w:val="24"/>
          <w:szCs w:val="24"/>
        </w:rPr>
        <w:t>zażalenie przysługuje do innego składu sądu apelacyjnego.</w:t>
      </w:r>
    </w:p>
    <w:p w:rsidR="00B429FA" w:rsidRDefault="00B429FA" w:rsidP="00B217FE">
      <w:pPr>
        <w:pStyle w:val="Akapitzlist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6BC0" w:rsidRPr="00004692" w:rsidRDefault="009D6BC0" w:rsidP="00B217FE">
      <w:pPr>
        <w:pStyle w:val="Akapitzlist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</w:pPr>
      <w:r w:rsidRPr="009B2E5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>Pracodawca nie może wypowiedzieć ani rozwiązać umowy o pracę w okresie ciąży, a także w okresie urlopu  macierzyńskiego pracownicy, chyba że:</w:t>
      </w:r>
    </w:p>
    <w:p w:rsidR="00712E7A" w:rsidRPr="00004692" w:rsidRDefault="00712E7A" w:rsidP="00B217FE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zachodzą przyczyny uzasadniające rozwiązanie umowy bez wypowiedzenia z jej winy i reprezentująca pracownicę zakładowa organizacja związkowa wyraziła zgodę na rozwiązanie umowy </w:t>
      </w:r>
    </w:p>
    <w:p w:rsidR="00712E7A" w:rsidRPr="00004692" w:rsidRDefault="00712E7A" w:rsidP="00B217FE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zachodzą przyczyny uzasadniające rozwiązanie umowy bez wypowiedzenia z jej winy </w:t>
      </w:r>
    </w:p>
    <w:p w:rsidR="00712E7A" w:rsidRPr="00004692" w:rsidRDefault="00712E7A" w:rsidP="00B217FE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>zachodzą przyczyny uzasadniające umowy za wypowiedzeniem przez pracodawcę</w:t>
      </w:r>
    </w:p>
    <w:p w:rsidR="00712E7A" w:rsidRPr="00004692" w:rsidRDefault="00712E7A" w:rsidP="00B217FE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</w:pPr>
      <w:r w:rsidRPr="009B2E5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>W razie wyrządzenia szkody przez kilku pracowników:</w:t>
      </w:r>
    </w:p>
    <w:p w:rsidR="00712E7A" w:rsidRPr="00004692" w:rsidRDefault="00712E7A" w:rsidP="00B217FE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każdy z nich ponosi odpowiedzialność za część szkody stosownie do przyczynienia się do niej i stopnia winy </w:t>
      </w:r>
    </w:p>
    <w:p w:rsidR="00712E7A" w:rsidRPr="00004692" w:rsidRDefault="00712E7A" w:rsidP="00B217FE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z nich ponosi odpowiedzialność w pełnym zakresie</w:t>
      </w:r>
    </w:p>
    <w:p w:rsidR="00712E7A" w:rsidRPr="00004692" w:rsidRDefault="00712E7A" w:rsidP="00B217FE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zawsze ponoszą odpowiedzialność w częściach równych </w:t>
      </w:r>
    </w:p>
    <w:p w:rsidR="00712E7A" w:rsidRPr="00004692" w:rsidRDefault="00712E7A" w:rsidP="00B217FE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</w:pPr>
      <w:r w:rsidRPr="009B2E5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 xml:space="preserve">W razie gdy warunki pracy nie odpowiadają przepisom bezpieczeństwa i higieny pracy i stwarzają bezpośrednie zagrożenie dla zdrowia lub życia pracownika albo gdy wykonywana przez niego praca grozi takim niebezpieczeństwem innym osobom, pracownik ma prawo: </w:t>
      </w:r>
    </w:p>
    <w:p w:rsidR="00712E7A" w:rsidRPr="00004692" w:rsidRDefault="00712E7A" w:rsidP="00B217FE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zrezygnować z wykonywania pracy, zawiadamiając o tym niezwłocznie przełożonego </w:t>
      </w:r>
    </w:p>
    <w:p w:rsidR="00712E7A" w:rsidRPr="00004692" w:rsidRDefault="00712E7A" w:rsidP="00B217FE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powstrzymać się od wykonywania pracy, zawiadamiając o tym niezwłocznie przełożonego </w:t>
      </w:r>
    </w:p>
    <w:p w:rsidR="00712E7A" w:rsidRPr="00004692" w:rsidRDefault="00712E7A" w:rsidP="00B217FE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poinformować przełożonego nie przerywając wykonywania obowiązków </w:t>
      </w:r>
    </w:p>
    <w:p w:rsidR="00712E7A" w:rsidRPr="00004692" w:rsidRDefault="00712E7A" w:rsidP="00B217F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</w:pPr>
      <w:r w:rsidRPr="009B2E5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>Zgodnie z ustawą o emeryturach i rentach z FUS, przy ustalaniu prawa do emerytury i renty oraz obliczaniu ich wysokości okresy nieskładkowe uwzględnia się w wymiarze:</w:t>
      </w:r>
    </w:p>
    <w:p w:rsidR="00712E7A" w:rsidRPr="00004692" w:rsidRDefault="00712E7A" w:rsidP="00B217FE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>nieprzekraczającym jednej czwartej udowodnionych okresów składkowych,</w:t>
      </w:r>
    </w:p>
    <w:p w:rsidR="00712E7A" w:rsidRPr="00004692" w:rsidRDefault="00712E7A" w:rsidP="00B217FE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nieprzekraczającym jednej trzeciej udowodnionych okresów składkowych,</w:t>
      </w:r>
    </w:p>
    <w:p w:rsidR="00712E7A" w:rsidRPr="00004692" w:rsidRDefault="00712E7A" w:rsidP="00B217FE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uwzględnia się w całości.</w:t>
      </w: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</w:pPr>
      <w:r w:rsidRPr="009B2E5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>W przypadku urodzenia jednego dziecka przy jednym porodzie, pracownicy przysługuje urlop macierzyński w wymiarze:</w:t>
      </w:r>
    </w:p>
    <w:p w:rsidR="00712E7A" w:rsidRPr="00004692" w:rsidRDefault="00712E7A" w:rsidP="00B217FE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16 tygodni </w:t>
      </w:r>
    </w:p>
    <w:p w:rsidR="00712E7A" w:rsidRPr="00004692" w:rsidRDefault="00712E7A" w:rsidP="00B217FE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20 tygodni </w:t>
      </w:r>
    </w:p>
    <w:p w:rsidR="00712E7A" w:rsidRPr="00004692" w:rsidRDefault="00712E7A" w:rsidP="00B217FE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>24 tygodni</w:t>
      </w:r>
    </w:p>
    <w:p w:rsidR="00712E7A" w:rsidRPr="00004692" w:rsidRDefault="00712E7A" w:rsidP="00B217FE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</w:pPr>
      <w:r w:rsidRPr="009B2E5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>W razie wyrządzenia przez pracownika przy wykonywaniu przez niego obowiązków pracowniczych szkody osobie trzeciej, zobowiązany do naprawienia szkody jest:</w:t>
      </w:r>
    </w:p>
    <w:p w:rsidR="00712E7A" w:rsidRPr="00004692" w:rsidRDefault="00712E7A" w:rsidP="00B217FE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wyłącznie pracownik </w:t>
      </w:r>
    </w:p>
    <w:p w:rsidR="00712E7A" w:rsidRPr="00004692" w:rsidRDefault="00712E7A" w:rsidP="00B217FE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wyłącznie pracodawca </w:t>
      </w:r>
    </w:p>
    <w:p w:rsidR="00712E7A" w:rsidRPr="00004692" w:rsidRDefault="00712E7A" w:rsidP="00B217FE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pracodawca i pracownik solidarnie </w:t>
      </w:r>
    </w:p>
    <w:p w:rsidR="00712E7A" w:rsidRPr="00004692" w:rsidRDefault="00712E7A" w:rsidP="00B217FE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</w:pPr>
      <w:r w:rsidRPr="009B2E5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>Jeżeli pracownik umyślnie wyrządził szkodę, jest obowiązany do jej naprawienia:</w:t>
      </w:r>
    </w:p>
    <w:p w:rsidR="00712E7A" w:rsidRPr="00004692" w:rsidRDefault="00712E7A" w:rsidP="00B217FE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pełnej wysokości </w:t>
      </w:r>
    </w:p>
    <w:p w:rsidR="00712E7A" w:rsidRPr="00004692" w:rsidRDefault="00712E7A" w:rsidP="00B217FE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kwocie odpowiadającej wysokości sześciomiesięcznego wynagrodzenia </w:t>
      </w:r>
    </w:p>
    <w:p w:rsidR="00712E7A" w:rsidRPr="00004692" w:rsidRDefault="00712E7A" w:rsidP="00B217FE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kwocie odpowiadającej wysokości trzymiesięcznego wynagrodzenia </w:t>
      </w:r>
    </w:p>
    <w:p w:rsidR="00712E7A" w:rsidRPr="00004692" w:rsidRDefault="00712E7A" w:rsidP="00B217FE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</w:pPr>
      <w:r w:rsidRPr="009B2E5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>Pracownikiem jest osoba zatrudniona:</w:t>
      </w:r>
    </w:p>
    <w:p w:rsidR="00712E7A" w:rsidRPr="00004692" w:rsidRDefault="00712E7A" w:rsidP="00B217FE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umowy o pracę, powołania, mianowania lub spółdzielczej umowy o pracę </w:t>
      </w:r>
    </w:p>
    <w:p w:rsidR="00712E7A" w:rsidRPr="00004692" w:rsidRDefault="00712E7A" w:rsidP="00B217FE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na podstawie umowy o pracę, powołania, wyboru, mianowania lub spółdzielczej umowy o pracę </w:t>
      </w:r>
    </w:p>
    <w:p w:rsidR="00712E7A" w:rsidRPr="00004692" w:rsidRDefault="00712E7A" w:rsidP="00B217FE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wyłącznie na podstawie umowy o pracę </w:t>
      </w:r>
    </w:p>
    <w:p w:rsidR="00712E7A" w:rsidRPr="00004692" w:rsidRDefault="00712E7A" w:rsidP="00B217FE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</w:pPr>
      <w:r w:rsidRPr="009B2E5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>Pracownik, któremu powierzono z obowiązkiem zwrotu albo do wyliczenia się: narzędzia i instrumenty lub podobne przedmioty, a także środki ochrony indywidualnej oraz odzież i obuwie robocze:</w:t>
      </w:r>
    </w:p>
    <w:p w:rsidR="00712E7A" w:rsidRPr="00004692" w:rsidRDefault="00712E7A" w:rsidP="00B217FE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odpowiada do pełnej wysokości za szkodę powstałą na tym mieniu </w:t>
      </w:r>
    </w:p>
    <w:p w:rsidR="00712E7A" w:rsidRPr="00004692" w:rsidRDefault="00712E7A" w:rsidP="00B217FE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odpowiada za szkodę powstałą na tym mieniu do wysokości trzymiesięcznego wynagrodzenia</w:t>
      </w:r>
    </w:p>
    <w:p w:rsidR="00712E7A" w:rsidRDefault="00712E7A" w:rsidP="00B217FE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ponosi odpowiedzialności za szkodę powstałą na tym mieniu </w:t>
      </w:r>
    </w:p>
    <w:p w:rsidR="009D6BC0" w:rsidRPr="00004692" w:rsidRDefault="009D6BC0" w:rsidP="009D6BC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</w:pPr>
      <w:r w:rsidRPr="009B2E5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>Za zobowiązania wynikające ze stosunku pracy, powstałe przed przejściem części zakładu pracy na innego pracodawcę:</w:t>
      </w:r>
    </w:p>
    <w:p w:rsidR="00712E7A" w:rsidRPr="00004692" w:rsidRDefault="00712E7A" w:rsidP="00B217FE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dotychczasowy i nowy pracodawca odpowiadają solidarnie </w:t>
      </w:r>
    </w:p>
    <w:p w:rsidR="00712E7A" w:rsidRPr="00004692" w:rsidRDefault="00712E7A" w:rsidP="00B217FE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 tylko dotychczasowy pracodawca </w:t>
      </w:r>
    </w:p>
    <w:p w:rsidR="00712E7A" w:rsidRDefault="00712E7A" w:rsidP="00B217FE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nowy pracodawca odpowiada samodzielnie </w:t>
      </w:r>
    </w:p>
    <w:p w:rsidR="009B2E52" w:rsidRPr="00004692" w:rsidRDefault="009B2E52" w:rsidP="009B2E52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</w:pPr>
      <w:r w:rsidRPr="009B2E5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>Pracodawca może wprowadzić szczególny nadzór nad terenem zakładu pracy lub terenem wokół zakładu pracy w postaci środków technicznych umożliwiających rejestrację obrazu (monitoring):</w:t>
      </w:r>
    </w:p>
    <w:p w:rsidR="00712E7A" w:rsidRPr="00004692" w:rsidRDefault="00712E7A" w:rsidP="00B217FE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jest to niezbędne do zapewnienia bezpieczeństwa pracowników lub ochrony mienia </w:t>
      </w:r>
    </w:p>
    <w:p w:rsidR="00712E7A" w:rsidRPr="00004692" w:rsidRDefault="00712E7A" w:rsidP="00B217FE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jest to niezbędne do kontroli produkcji lub zachowania w tajemnicy informacji </w:t>
      </w:r>
    </w:p>
    <w:p w:rsidR="00712E7A" w:rsidRPr="00004692" w:rsidRDefault="00712E7A" w:rsidP="00B217FE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jeżeli jest to niezbędne do zapewnienia bezpieczeństwa pracowników lub ochrony mienia lub kontroli produkcji lub zachowania w tajemnicy informacji, których ujawnienie mogłoby narazić pracodawcę na szkodę </w:t>
      </w:r>
    </w:p>
    <w:p w:rsidR="00CB6BAA" w:rsidRPr="00004692" w:rsidRDefault="00CB6BAA" w:rsidP="00B217FE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12E7A" w:rsidRPr="009B2E52" w:rsidRDefault="00712E7A" w:rsidP="00B217FE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</w:pPr>
      <w:r w:rsidRPr="009B2E5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>Monitoring nie obejmuje pomieszczeń:</w:t>
      </w:r>
    </w:p>
    <w:p w:rsidR="00712E7A" w:rsidRPr="00004692" w:rsidRDefault="00712E7A" w:rsidP="00B217FE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sanitarnych </w:t>
      </w:r>
    </w:p>
    <w:p w:rsidR="00712E7A" w:rsidRPr="00004692" w:rsidRDefault="00712E7A" w:rsidP="00B217FE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udostępnianych zakładowej organizacji związkowej </w:t>
      </w:r>
    </w:p>
    <w:p w:rsidR="00712E7A" w:rsidRPr="00004692" w:rsidRDefault="00712E7A" w:rsidP="00B217FE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udostępnianych kontrahentom firmy na spotkania firmowe </w:t>
      </w:r>
    </w:p>
    <w:p w:rsidR="002E54D8" w:rsidRPr="00004692" w:rsidRDefault="002E54D8" w:rsidP="00B217F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E54D8" w:rsidRPr="00004692" w:rsidSect="009D6BC0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7BB" w:rsidRDefault="000C67BB" w:rsidP="000C67BB">
      <w:pPr>
        <w:spacing w:after="0" w:line="240" w:lineRule="auto"/>
      </w:pPr>
      <w:r>
        <w:separator/>
      </w:r>
    </w:p>
  </w:endnote>
  <w:endnote w:type="continuationSeparator" w:id="0">
    <w:p w:rsidR="000C67BB" w:rsidRDefault="000C67BB" w:rsidP="000C6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2520997"/>
      <w:docPartObj>
        <w:docPartGallery w:val="Page Numbers (Bottom of Page)"/>
        <w:docPartUnique/>
      </w:docPartObj>
    </w:sdtPr>
    <w:sdtEndPr/>
    <w:sdtContent>
      <w:p w:rsidR="000C67BB" w:rsidRDefault="000C67B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D0DE3" w:rsidRDefault="004D6A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7BB" w:rsidRDefault="000C67BB" w:rsidP="000C67BB">
      <w:pPr>
        <w:spacing w:after="0" w:line="240" w:lineRule="auto"/>
      </w:pPr>
      <w:r>
        <w:separator/>
      </w:r>
    </w:p>
  </w:footnote>
  <w:footnote w:type="continuationSeparator" w:id="0">
    <w:p w:rsidR="000C67BB" w:rsidRDefault="000C67BB" w:rsidP="000C67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C3EC8"/>
    <w:multiLevelType w:val="hybridMultilevel"/>
    <w:tmpl w:val="1B38A9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01E19"/>
    <w:multiLevelType w:val="hybridMultilevel"/>
    <w:tmpl w:val="9962D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417A7"/>
    <w:multiLevelType w:val="hybridMultilevel"/>
    <w:tmpl w:val="2D5472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A188D"/>
    <w:multiLevelType w:val="multilevel"/>
    <w:tmpl w:val="6A641D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A6D5C80"/>
    <w:multiLevelType w:val="hybridMultilevel"/>
    <w:tmpl w:val="CF4E8F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03A4B"/>
    <w:multiLevelType w:val="hybridMultilevel"/>
    <w:tmpl w:val="3564A5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742EAF"/>
    <w:multiLevelType w:val="hybridMultilevel"/>
    <w:tmpl w:val="82B851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87B57"/>
    <w:multiLevelType w:val="hybridMultilevel"/>
    <w:tmpl w:val="90E078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50BFE"/>
    <w:multiLevelType w:val="hybridMultilevel"/>
    <w:tmpl w:val="96023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740E5"/>
    <w:multiLevelType w:val="hybridMultilevel"/>
    <w:tmpl w:val="A69C25DC"/>
    <w:lvl w:ilvl="0" w:tplc="04150017">
      <w:start w:val="1"/>
      <w:numFmt w:val="lowerLetter"/>
      <w:lvlText w:val="%1)"/>
      <w:lvlJc w:val="left"/>
      <w:pPr>
        <w:ind w:left="108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1B6792"/>
    <w:multiLevelType w:val="hybridMultilevel"/>
    <w:tmpl w:val="0C58E1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46BF7"/>
    <w:multiLevelType w:val="hybridMultilevel"/>
    <w:tmpl w:val="A6860E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36B0B"/>
    <w:multiLevelType w:val="hybridMultilevel"/>
    <w:tmpl w:val="88D86D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64127"/>
    <w:multiLevelType w:val="hybridMultilevel"/>
    <w:tmpl w:val="002CF6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943C2F"/>
    <w:multiLevelType w:val="hybridMultilevel"/>
    <w:tmpl w:val="86F60F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87E50"/>
    <w:multiLevelType w:val="hybridMultilevel"/>
    <w:tmpl w:val="6AF26824"/>
    <w:lvl w:ilvl="0" w:tplc="FB3E2E74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86441E3"/>
    <w:multiLevelType w:val="hybridMultilevel"/>
    <w:tmpl w:val="E59406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03134A"/>
    <w:multiLevelType w:val="hybridMultilevel"/>
    <w:tmpl w:val="4AE80F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A43237"/>
    <w:multiLevelType w:val="hybridMultilevel"/>
    <w:tmpl w:val="F4C014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AC5FE9"/>
    <w:multiLevelType w:val="hybridMultilevel"/>
    <w:tmpl w:val="120A88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6E2A8D"/>
    <w:multiLevelType w:val="hybridMultilevel"/>
    <w:tmpl w:val="E572F2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0617DF"/>
    <w:multiLevelType w:val="hybridMultilevel"/>
    <w:tmpl w:val="5282E0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2E4ED7"/>
    <w:multiLevelType w:val="hybridMultilevel"/>
    <w:tmpl w:val="940633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586568"/>
    <w:multiLevelType w:val="hybridMultilevel"/>
    <w:tmpl w:val="69369924"/>
    <w:lvl w:ilvl="0" w:tplc="D93695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01D622E"/>
    <w:multiLevelType w:val="hybridMultilevel"/>
    <w:tmpl w:val="D70A24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D569D"/>
    <w:multiLevelType w:val="hybridMultilevel"/>
    <w:tmpl w:val="691A82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7747E5"/>
    <w:multiLevelType w:val="hybridMultilevel"/>
    <w:tmpl w:val="6F3EFC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514FF9"/>
    <w:multiLevelType w:val="hybridMultilevel"/>
    <w:tmpl w:val="F03CC6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21600F"/>
    <w:multiLevelType w:val="hybridMultilevel"/>
    <w:tmpl w:val="08200B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4"/>
  </w:num>
  <w:num w:numId="3">
    <w:abstractNumId w:val="25"/>
  </w:num>
  <w:num w:numId="4">
    <w:abstractNumId w:val="13"/>
  </w:num>
  <w:num w:numId="5">
    <w:abstractNumId w:val="17"/>
  </w:num>
  <w:num w:numId="6">
    <w:abstractNumId w:val="14"/>
  </w:num>
  <w:num w:numId="7">
    <w:abstractNumId w:val="11"/>
  </w:num>
  <w:num w:numId="8">
    <w:abstractNumId w:val="3"/>
  </w:num>
  <w:num w:numId="9">
    <w:abstractNumId w:val="8"/>
  </w:num>
  <w:num w:numId="10">
    <w:abstractNumId w:val="18"/>
  </w:num>
  <w:num w:numId="11">
    <w:abstractNumId w:val="7"/>
  </w:num>
  <w:num w:numId="12">
    <w:abstractNumId w:val="21"/>
  </w:num>
  <w:num w:numId="13">
    <w:abstractNumId w:val="28"/>
  </w:num>
  <w:num w:numId="14">
    <w:abstractNumId w:val="27"/>
  </w:num>
  <w:num w:numId="15">
    <w:abstractNumId w:val="5"/>
  </w:num>
  <w:num w:numId="16">
    <w:abstractNumId w:val="19"/>
  </w:num>
  <w:num w:numId="17">
    <w:abstractNumId w:val="16"/>
  </w:num>
  <w:num w:numId="18">
    <w:abstractNumId w:val="0"/>
  </w:num>
  <w:num w:numId="19">
    <w:abstractNumId w:val="26"/>
  </w:num>
  <w:num w:numId="20">
    <w:abstractNumId w:val="20"/>
  </w:num>
  <w:num w:numId="21">
    <w:abstractNumId w:val="9"/>
  </w:num>
  <w:num w:numId="22">
    <w:abstractNumId w:val="23"/>
  </w:num>
  <w:num w:numId="23">
    <w:abstractNumId w:val="15"/>
  </w:num>
  <w:num w:numId="24">
    <w:abstractNumId w:val="22"/>
  </w:num>
  <w:num w:numId="25">
    <w:abstractNumId w:val="12"/>
  </w:num>
  <w:num w:numId="26">
    <w:abstractNumId w:val="1"/>
  </w:num>
  <w:num w:numId="27">
    <w:abstractNumId w:val="4"/>
  </w:num>
  <w:num w:numId="28">
    <w:abstractNumId w:val="10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E7A"/>
    <w:rsid w:val="00004692"/>
    <w:rsid w:val="000C67BB"/>
    <w:rsid w:val="001E31A5"/>
    <w:rsid w:val="002704E9"/>
    <w:rsid w:val="002E54D8"/>
    <w:rsid w:val="00377CDA"/>
    <w:rsid w:val="004579A6"/>
    <w:rsid w:val="004D6AEB"/>
    <w:rsid w:val="00712E7A"/>
    <w:rsid w:val="007E1D37"/>
    <w:rsid w:val="009B2E52"/>
    <w:rsid w:val="009D6BC0"/>
    <w:rsid w:val="00B217FE"/>
    <w:rsid w:val="00B429FA"/>
    <w:rsid w:val="00CB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DA865-9D0D-449A-8F1D-9D468E01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12E7A"/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2E7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712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2E7A"/>
    <w:rPr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0C67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67BB"/>
    <w:rPr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6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6AE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1709</Words>
  <Characters>10260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Durakiewicz Urszula</dc:creator>
  <cp:keywords/>
  <dc:description/>
  <cp:lastModifiedBy>Durakiewicz Urszula</cp:lastModifiedBy>
  <cp:revision>2</cp:revision>
  <cp:lastPrinted>2023-12-18T07:39:00Z</cp:lastPrinted>
  <dcterms:created xsi:type="dcterms:W3CDTF">2023-12-13T06:32:00Z</dcterms:created>
  <dcterms:modified xsi:type="dcterms:W3CDTF">2023-12-18T07:39:00Z</dcterms:modified>
</cp:coreProperties>
</file>