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031B" w:rsidRPr="00A57E81" w:rsidRDefault="0092031B" w:rsidP="0092031B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TEST NA KONKURS NA </w:t>
      </w:r>
      <w:r w:rsidR="00712860">
        <w:rPr>
          <w:rFonts w:ascii="Times New Roman" w:hAnsi="Times New Roman" w:cs="Times New Roman"/>
          <w:b/>
          <w:sz w:val="24"/>
          <w:szCs w:val="24"/>
        </w:rPr>
        <w:t>2</w:t>
      </w:r>
      <w:r w:rsidRPr="00A57E81">
        <w:rPr>
          <w:rFonts w:ascii="Times New Roman" w:hAnsi="Times New Roman" w:cs="Times New Roman"/>
          <w:b/>
          <w:sz w:val="24"/>
          <w:szCs w:val="24"/>
        </w:rPr>
        <w:t xml:space="preserve"> STANOWISKA ASYSTENTA SĘDZIEGO </w:t>
      </w:r>
    </w:p>
    <w:p w:rsidR="0092031B" w:rsidRPr="00A57E81" w:rsidRDefault="0092031B" w:rsidP="0092031B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W SĄDZIE APELACYJNYM W SZCZECINIE</w:t>
      </w:r>
    </w:p>
    <w:p w:rsidR="0092031B" w:rsidRPr="00A57E81" w:rsidRDefault="0092031B" w:rsidP="0092031B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 xml:space="preserve">PRZEPROWADZANY W DNIACH </w:t>
      </w:r>
      <w:r>
        <w:rPr>
          <w:rFonts w:ascii="Times New Roman" w:hAnsi="Times New Roman" w:cs="Times New Roman"/>
          <w:b/>
          <w:sz w:val="24"/>
          <w:szCs w:val="24"/>
        </w:rPr>
        <w:t>8 i 9 MAJA</w:t>
      </w:r>
      <w:r w:rsidRPr="00A57E81">
        <w:rPr>
          <w:rFonts w:ascii="Times New Roman" w:hAnsi="Times New Roman" w:cs="Times New Roman"/>
          <w:b/>
          <w:sz w:val="24"/>
          <w:szCs w:val="24"/>
        </w:rPr>
        <w:t xml:space="preserve"> 2023 R. </w:t>
      </w:r>
    </w:p>
    <w:p w:rsidR="0092031B" w:rsidRPr="00A57E81" w:rsidRDefault="0092031B" w:rsidP="0092031B">
      <w:pPr>
        <w:pStyle w:val="Akapitzlist"/>
        <w:autoSpaceDE w:val="0"/>
        <w:autoSpaceDN w:val="0"/>
        <w:adjustRightInd w:val="0"/>
        <w:spacing w:after="0" w:line="276" w:lineRule="auto"/>
        <w:ind w:left="43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E81">
        <w:rPr>
          <w:rFonts w:ascii="Times New Roman" w:hAnsi="Times New Roman" w:cs="Times New Roman"/>
          <w:b/>
          <w:sz w:val="24"/>
          <w:szCs w:val="24"/>
        </w:rPr>
        <w:t>(Kd-1120-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A57E81">
        <w:rPr>
          <w:rFonts w:ascii="Times New Roman" w:hAnsi="Times New Roman" w:cs="Times New Roman"/>
          <w:b/>
          <w:sz w:val="24"/>
          <w:szCs w:val="24"/>
        </w:rPr>
        <w:t>/23)</w:t>
      </w:r>
    </w:p>
    <w:p w:rsidR="0092031B" w:rsidRDefault="0092031B" w:rsidP="0092031B">
      <w:pPr>
        <w:pStyle w:val="Akapitzlist"/>
        <w:spacing w:after="0" w:line="360" w:lineRule="auto"/>
        <w:ind w:left="851"/>
        <w:rPr>
          <w:rFonts w:ascii="Times New Roman" w:hAnsi="Times New Roman" w:cs="Times New Roman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ind w:left="851" w:hanging="42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jeżeli w chwili wniesienia pozwu w składzie organów jednostki organizacyjnej będącej powodem zachodzą braki uniemożliwiające jej działanie i braki te nie zostały uzupełnione zgodnie z przepisami tego kodeksu, sąd: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umorzy postępowanie,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zwróci pozew,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odrzuci pozew</w:t>
      </w:r>
      <w:r w:rsidRPr="004F2CEC">
        <w:rPr>
          <w:rFonts w:ascii="Times New Roman" w:hAnsi="Times New Roman" w:cs="Times New Roman"/>
          <w:sz w:val="24"/>
          <w:szCs w:val="24"/>
        </w:rPr>
        <w:t>.</w:t>
      </w:r>
    </w:p>
    <w:p w:rsidR="0092031B" w:rsidRPr="001950C5" w:rsidRDefault="0092031B" w:rsidP="0092031B">
      <w:pPr>
        <w:pStyle w:val="Akapitzlist"/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postępowania cywilnego, na postanowienie sądu drugiej instancji w przedmiocie zwrotu kosztów procesu, które nie zostało wydane w wyniku rozpoznania zażalenia na postanowienie sądu pierwszej instancji: 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nie przysługuje zażalenie,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 xml:space="preserve">przysługuje zażalenie do Sądu Najwyższego, 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przysługuje zażalenie do innego składu tego sądu.</w:t>
      </w:r>
    </w:p>
    <w:p w:rsidR="0092031B" w:rsidRPr="001950C5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w razie cofnięcia apelacji w postępowaniu przed sądem drugiej instancji, sąd ten: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umarza postępowanie w sprawie i nie orzeka o kosztach,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umarza postępowanie apelacyjne i orzeka o kosztach jak przy cofnięciu pozwu,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oddala apelację i orzeka o kosztach stosownie do wyniku sprawy.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sąd drugiej instancji, uchylając zaskarżone orzeczenie i przekazując sprawę sądowi pierwszej instancji do rozpoznania:</w:t>
      </w:r>
    </w:p>
    <w:p w:rsidR="00B71477" w:rsidRPr="001950C5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orzeka o kosztach instancji odwoławczej,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orzeka o kosztach instancji odwoławczej dopiero przy ponownym rozpoznaniu sprawy,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pozostawia temu sądowi rozstrzygnięcie o kosztach instancji odwoławczej.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sąd może zmienić wyrok na niekorzyść strony wnoszącej apelację: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każdym wypadku,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tylko wtedy, gdy nie sprzeciwiła się temu strona przeciwna,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tylko wtedy, gdy strona przeciwna również wniosła apelację</w:t>
      </w:r>
      <w:r w:rsidRPr="004F2CEC">
        <w:rPr>
          <w:rFonts w:ascii="Times New Roman" w:hAnsi="Times New Roman" w:cs="Times New Roman"/>
          <w:sz w:val="24"/>
          <w:szCs w:val="24"/>
        </w:rPr>
        <w:t>.</w:t>
      </w:r>
    </w:p>
    <w:p w:rsidR="0092031B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Zgodnie z Kodeksem postępowania cywilnego, w postępowaniu cywilnym apelacja od wyroku zaocznego przysługuje: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powodowi, gdy powództwo zostało oddalone w całości lub w części</w:t>
      </w:r>
      <w:r w:rsidRPr="004F2CEC">
        <w:rPr>
          <w:rFonts w:ascii="Times New Roman" w:hAnsi="Times New Roman" w:cs="Times New Roman"/>
          <w:sz w:val="24"/>
          <w:szCs w:val="24"/>
        </w:rPr>
        <w:t>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powodowi, lecz tylko wówczas, gdy pozwany złożył sprzeciw,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każdej ze stron.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o kosztach procesu należnych stronie działającej bez adwokata, radcy prawnego lub rzecznika patentowego sąd orzeka: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z urzędu</w:t>
      </w:r>
      <w:r w:rsidRPr="004F2CEC">
        <w:rPr>
          <w:rFonts w:ascii="Times New Roman" w:hAnsi="Times New Roman" w:cs="Times New Roman"/>
          <w:sz w:val="24"/>
          <w:szCs w:val="24"/>
        </w:rPr>
        <w:t>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wyłącznie na wniosek,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 urzędu, chyba że stroną jest sędzia, prokurator, notariusz, komornik sądowy lub osoba mająca stopień naukowy co najmniej doktora habilitowanego nauk prawnych.</w:t>
      </w:r>
    </w:p>
    <w:p w:rsidR="0092031B" w:rsidRPr="001950C5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cywilnego,  odrzucenie apelacji, której braków strona nie uzupełniła w wyznaczonym terminie, następuje: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postanowieniem sądu pierwszej instancji,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 xml:space="preserve">postanowieniem referendarza sądowego, 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postanowieniem sądu drugiej instancji.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Zgodnie z Kodeksem postępowania cywilnego, na postanowienie sądu drugiej instancji o odrzuceniu apelacji: 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przysługuje skarga kasacyjna,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przysługuje zażalenie do innego składu tego sądu</w:t>
      </w:r>
      <w:r w:rsidRPr="004F2CE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przysługuje zażalenie do Sądu Najwyższego.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cywilnym, odwołanie darowizny następuje przez oświadczenie darczyńcy złożone obdarowanemu: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dowolnej formie,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na piśmie</w:t>
      </w:r>
      <w:r w:rsidRPr="004F2CEC">
        <w:rPr>
          <w:rFonts w:ascii="Times New Roman" w:hAnsi="Times New Roman" w:cs="Times New Roman"/>
          <w:sz w:val="24"/>
          <w:szCs w:val="24"/>
        </w:rPr>
        <w:t>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na piśmie, a w przypadku gdy przedmiotem darowizny była nieruchomość, w formie aktu notarialnego.</w:t>
      </w:r>
    </w:p>
    <w:p w:rsidR="0092031B" w:rsidRPr="001950C5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cywilnym, jeżeli umowa zobowiązująca do przeniesienia własności nieruchomości została zawarta pod warunkiem: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umowa taka jest nieważna,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 chwilą spełnienia warunku własność przechodzi na nabywcę,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do przeniesienia własności potrzebne jest dodatkowe porozumienie stron obejmujące ich bezwarunkową zgodę na niezwłoczne przejście własności.</w:t>
      </w:r>
    </w:p>
    <w:p w:rsidR="0092031B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31B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1477" w:rsidRPr="001950C5" w:rsidRDefault="00B71477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Zgodnie z Kodeksem cywilnym, jeżeli kilka osób zaciągnęło zobowiązanie dotyczące ich wspólnego mienia, są one: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zawsze zobowiązane w stosunku do wielkości udziałów,</w:t>
      </w:r>
    </w:p>
    <w:p w:rsidR="00B71477" w:rsidRPr="004F2CEC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zawsze zobowiązane solidarnie,</w:t>
      </w:r>
    </w:p>
    <w:p w:rsidR="00B71477" w:rsidRDefault="00B71477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zobowiązane solidarnie, chyba że umówiono się inaczej</w:t>
      </w:r>
      <w:r w:rsidRPr="004F2CEC">
        <w:rPr>
          <w:rFonts w:ascii="Times New Roman" w:hAnsi="Times New Roman" w:cs="Times New Roman"/>
          <w:sz w:val="24"/>
          <w:szCs w:val="24"/>
        </w:rPr>
        <w:t>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zatarciu skazania nie podlegają: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skazanie na karę pozbawienia wolności bez warunkowego zawieszenia za przestępstwa przeciwko wolności seksualnej i obyczajności, jeżeli pokrzywdzonym był małoletni poniżej 15 lat,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skazanie na kary za zabrodnie wojenne i przeciwko ludzkości,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wszystkie kary podlegają zatarciu.</w:t>
      </w:r>
    </w:p>
    <w:p w:rsidR="0092031B" w:rsidRPr="004F2CEC" w:rsidRDefault="0092031B" w:rsidP="0092031B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obrońca oskarżonego, któremu zarzucono zbrodnię: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zawsze musi brać udział w rozprawie apelacyjnej,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musi brać udział w rozprawie apelacyjnej tylko, gdy prezes sądu uzna to za konieczne,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musi brać udział w rozprawie apelacyjnej tylko, jeżeli prezes sądu lub sąd uzna to za konieczne.</w:t>
      </w:r>
    </w:p>
    <w:p w:rsidR="00695A28" w:rsidRPr="001950C5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znaczna wartość to kwota przekraczająca: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120.000 złotych,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172.000 złotych,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200.000 złotych,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czynny żal w przypadku usiłowaniu polega na: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odstąpieniu od popełnienia czynu i powiadomieniu o zamiarze popełnienia organów ścigania,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dobrowolnym odstąpieniu od dokonania lub zapobieżeniu skutkowi stanowiącego znamię czynu zabronionego,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zapobieżeniu skutkowi stanowiącemu znamię czynu zabronionego.</w:t>
      </w:r>
    </w:p>
    <w:p w:rsidR="00695A28" w:rsidRPr="001950C5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w pierwszej instancji w sprawach o zbrodnie właściwy jest: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sąd okręgowy jest właściwy tylko w sprawach o zbrodnie określone w Kodeksie karnym,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sąd okręgowy jest zawsze właściwy w sprawach o zbrodnie,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sąd okręgowy jest właściwy, ale tylko w przypadku zbrodni zagrożonych karą 25 lat pozbawienia wolności albo dożywotniego pozbawienia wolności.</w:t>
      </w:r>
    </w:p>
    <w:p w:rsidR="00695A28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Zgodnie z Kodeksem postępowania karnego, apelację od wyroku orzekającego karę 10 lat pozbawienia wolności, w której prokurator wnioskuje o orzeczenie kary dożywotniego pozbawienia wolności rozpoznaje sąd w składzie: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trzech sędziów,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pięciu sędziów,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siedmiu sędziów.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Według Kodeksu karnego maksymalny wymiar terminowej kary łącznej pozbawienia wolności wynosi: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15 lat,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18 lat,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20 lat.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postępowania karnego, sąd może odroczyć ogłoszenie wyroku na czas nie przekraczający: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7 dni,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14 dni,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21 dni.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karnym, rozbój w typie kwalifikowanym zagrożony jest karą: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od 2 lat pozbawienia wolności,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od 3 lat pozbawienia wolności,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od 5 lat pozbawienia wolności.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4F2CEC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</w:t>
      </w:r>
      <w:r w:rsidRPr="001950C5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4F2CEC">
        <w:rPr>
          <w:rFonts w:ascii="Times New Roman" w:hAnsi="Times New Roman" w:cs="Times New Roman"/>
          <w:sz w:val="24"/>
          <w:szCs w:val="24"/>
        </w:rPr>
        <w:t>Kodeksem postępowania karnego, terminy do wnoszenia środków zaskarżenia są: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prekluzyjne,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zawite,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instrukcyjne.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 wykonawczym, sprawca przebywający na wolności może wnioskować o wyrażenie zezwolenia na odbywanie kary w systemie dozoru elektronicznego jeżeli orzeczono wobec niego karę nieprzekraczającą: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1 roku i 6 miesięcy pozbawienia wolności,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1 roku i 9 miesięcy pozbawienia wolności,</w:t>
      </w:r>
    </w:p>
    <w:p w:rsidR="005E5CDB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2 lat pozbawienia wolności.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1950C5" w:rsidRDefault="005E5CDB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Zgodnie z Kodeksem karnym wykonawczym, w przypadku uchylenia zezwolenia na odbywanie kary w systemie dozoru elektronicznego: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ponowny wniosek jest zawsze dopuszczalny,</w:t>
      </w:r>
    </w:p>
    <w:p w:rsidR="005E5CDB" w:rsidRP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ponowny wniosek jest niedopuszczalny w tej samej sprawie,</w:t>
      </w:r>
    </w:p>
    <w:p w:rsidR="004F2CEC" w:rsidRDefault="005E5CDB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ponowny wniosek jest dopuszczalny po odbyciu 6 miesięcy kary.</w:t>
      </w:r>
    </w:p>
    <w:p w:rsidR="00695A28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695A28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Równowaga między życiem zawodowym a prywatnym rodziców i opiekunów </w:t>
      </w:r>
    </w:p>
    <w:p w:rsidR="004F2CEC" w:rsidRPr="004F2CEC" w:rsidRDefault="004F2CEC" w:rsidP="0092031B">
      <w:pPr>
        <w:pStyle w:val="Akapitzlist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nie jest gwarantowana przepisami kodeksu pracy</w:t>
      </w:r>
      <w:r w:rsidR="00695A28">
        <w:rPr>
          <w:rFonts w:ascii="Times New Roman" w:hAnsi="Times New Roman" w:cs="Times New Roman"/>
          <w:sz w:val="24"/>
          <w:szCs w:val="24"/>
        </w:rPr>
        <w:t>,</w:t>
      </w:r>
      <w:r w:rsidRPr="004F2CEC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2CEC" w:rsidRPr="004F2CEC" w:rsidRDefault="004F2CEC" w:rsidP="0092031B">
      <w:pPr>
        <w:pStyle w:val="Akapitzlist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jest gwarantowana w dyrektywie unijnej</w:t>
      </w:r>
      <w:r w:rsidR="00695A28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Default="004F2CEC" w:rsidP="0092031B">
      <w:pPr>
        <w:pStyle w:val="Akapitzlist"/>
        <w:numPr>
          <w:ilvl w:val="1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jest tylko postulatem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695A28" w:rsidRPr="004F2CEC" w:rsidRDefault="00695A28" w:rsidP="00695A28">
      <w:pPr>
        <w:pStyle w:val="Akapitzlist"/>
        <w:spacing w:after="0" w:line="276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Pracownik, który chce podjąć dodatkowe zatrudnienie:</w:t>
      </w:r>
    </w:p>
    <w:p w:rsidR="004F2CEC" w:rsidRPr="004F2CEC" w:rsidRDefault="004F2CEC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musi wystąpić o zgodę do swojego dotychczasowego pracodawcy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4F2CEC" w:rsidRPr="006E495D" w:rsidRDefault="004F2CEC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95D">
        <w:rPr>
          <w:rFonts w:ascii="Times New Roman" w:hAnsi="Times New Roman" w:cs="Times New Roman"/>
          <w:b/>
          <w:sz w:val="24"/>
          <w:szCs w:val="24"/>
        </w:rPr>
        <w:t>ma swobodę decyzji</w:t>
      </w:r>
      <w:r w:rsidR="00695A28" w:rsidRPr="006E495D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Pr="00695A28" w:rsidRDefault="004F2CEC" w:rsidP="0092031B">
      <w:pPr>
        <w:pStyle w:val="Akapitzlist"/>
        <w:numPr>
          <w:ilvl w:val="1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musi o tym poinformować dotychczasowego pracodawcę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695A28" w:rsidRPr="004F2CEC" w:rsidRDefault="00695A28" w:rsidP="00695A28">
      <w:pPr>
        <w:pStyle w:val="Akapitzlist"/>
        <w:spacing w:after="0" w:line="276" w:lineRule="auto"/>
        <w:ind w:left="1785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Ponowne zawarcie umowy o pracę na okres próbny z tym samym pracownikiem:</w:t>
      </w:r>
    </w:p>
    <w:p w:rsidR="004F2CEC" w:rsidRPr="006E495D" w:rsidRDefault="004F2CEC" w:rsidP="0092031B">
      <w:pPr>
        <w:pStyle w:val="Akapitzlist"/>
        <w:numPr>
          <w:ilvl w:val="0"/>
          <w:numId w:val="9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495D">
        <w:rPr>
          <w:rFonts w:ascii="Times New Roman" w:hAnsi="Times New Roman" w:cs="Times New Roman"/>
          <w:b/>
          <w:sz w:val="24"/>
          <w:szCs w:val="24"/>
        </w:rPr>
        <w:t>jest dopuszczalne, ale tylko w celu wykonywania innego rodzaju pracy</w:t>
      </w:r>
      <w:r w:rsidR="00695A28" w:rsidRPr="006E495D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9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jest dopuszczalne bez zastrzeżeń</w:t>
      </w:r>
      <w:r w:rsidR="00695A28">
        <w:rPr>
          <w:rFonts w:ascii="Times New Roman" w:hAnsi="Times New Roman" w:cs="Times New Roman"/>
          <w:sz w:val="24"/>
          <w:szCs w:val="24"/>
        </w:rPr>
        <w:t>,</w:t>
      </w:r>
    </w:p>
    <w:p w:rsidR="004F2CEC" w:rsidRPr="00695A28" w:rsidRDefault="004F2CEC" w:rsidP="0092031B">
      <w:pPr>
        <w:pStyle w:val="Akapitzlist"/>
        <w:numPr>
          <w:ilvl w:val="0"/>
          <w:numId w:val="9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nie</w:t>
      </w:r>
      <w:r w:rsidRPr="004F2CE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2CEC">
        <w:rPr>
          <w:rFonts w:ascii="Times New Roman" w:hAnsi="Times New Roman" w:cs="Times New Roman"/>
          <w:sz w:val="24"/>
          <w:szCs w:val="24"/>
        </w:rPr>
        <w:t>jest dopuszczalne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695A28" w:rsidRPr="001950C5" w:rsidRDefault="00695A28" w:rsidP="00695A28">
      <w:pPr>
        <w:pStyle w:val="Akapitzlist"/>
        <w:spacing w:after="0" w:line="276" w:lineRule="auto"/>
        <w:ind w:left="1701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Pracodawca wypowiada umowa o pracę zawartą na czas określony:</w:t>
      </w:r>
    </w:p>
    <w:p w:rsidR="004F2CEC" w:rsidRPr="004F2CEC" w:rsidRDefault="004F2CEC" w:rsidP="0092031B">
      <w:pPr>
        <w:pStyle w:val="Akapitzlist"/>
        <w:numPr>
          <w:ilvl w:val="0"/>
          <w:numId w:val="11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z podaniem przyczyny wypowiedzenia</w:t>
      </w:r>
      <w:r w:rsidR="00695A28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11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bez podania przyczyny wypowiedzenia</w:t>
      </w:r>
      <w:r w:rsidR="00695A28">
        <w:rPr>
          <w:rFonts w:ascii="Times New Roman" w:hAnsi="Times New Roman" w:cs="Times New Roman"/>
          <w:sz w:val="24"/>
          <w:szCs w:val="24"/>
        </w:rPr>
        <w:t>,</w:t>
      </w:r>
    </w:p>
    <w:p w:rsidR="004F2CEC" w:rsidRDefault="004F2CEC" w:rsidP="0092031B">
      <w:pPr>
        <w:pStyle w:val="Akapitzlist"/>
        <w:numPr>
          <w:ilvl w:val="0"/>
          <w:numId w:val="11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przyczyna jest podawana tylko gdy umowę zawarto na okres ponad 6 miesięcy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695A28" w:rsidRPr="001950C5" w:rsidRDefault="00695A28" w:rsidP="00695A28">
      <w:pPr>
        <w:pStyle w:val="Akapitzlist"/>
        <w:spacing w:after="0" w:line="276" w:lineRule="auto"/>
        <w:ind w:left="1701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Oświadczenie każdej ze stron o rozwiązaniu umowy o pracę bez wypowiedzenia powinno nastąpić:</w:t>
      </w:r>
    </w:p>
    <w:p w:rsidR="004F2CEC" w:rsidRPr="004F2CEC" w:rsidRDefault="00695A28" w:rsidP="0092031B">
      <w:pPr>
        <w:pStyle w:val="Akapitzlist"/>
        <w:numPr>
          <w:ilvl w:val="0"/>
          <w:numId w:val="13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4F2CEC" w:rsidRPr="004F2CEC">
        <w:rPr>
          <w:rFonts w:ascii="Times New Roman" w:hAnsi="Times New Roman" w:cs="Times New Roman"/>
          <w:sz w:val="24"/>
          <w:szCs w:val="24"/>
        </w:rPr>
        <w:t>stnie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13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na piśmie</w:t>
      </w:r>
      <w:r w:rsidR="00695A28">
        <w:rPr>
          <w:rFonts w:ascii="Times New Roman" w:hAnsi="Times New Roman" w:cs="Times New Roman"/>
          <w:b/>
          <w:sz w:val="24"/>
          <w:szCs w:val="24"/>
        </w:rPr>
        <w:t>,</w:t>
      </w:r>
      <w:r w:rsidRPr="004F2C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EC" w:rsidRDefault="004F2CEC" w:rsidP="0092031B">
      <w:pPr>
        <w:pStyle w:val="Akapitzlist"/>
        <w:numPr>
          <w:ilvl w:val="0"/>
          <w:numId w:val="13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 xml:space="preserve">w obecności dwóch świadków. </w:t>
      </w:r>
    </w:p>
    <w:p w:rsidR="00695A28" w:rsidRPr="001950C5" w:rsidRDefault="00695A28" w:rsidP="00695A28">
      <w:pPr>
        <w:pStyle w:val="Akapitzlist"/>
        <w:spacing w:after="0" w:line="276" w:lineRule="auto"/>
        <w:ind w:left="1701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Jeżeli wypowiedzenie umowy o pracę zawartej na czas określony nastąpiło z naruszeniem przepisów o wypowiadaniu takiej umowy:</w:t>
      </w:r>
    </w:p>
    <w:p w:rsidR="004F2CEC" w:rsidRPr="004F2CEC" w:rsidRDefault="004F2CEC" w:rsidP="0092031B">
      <w:pPr>
        <w:pStyle w:val="Akapitzlist"/>
        <w:numPr>
          <w:ilvl w:val="0"/>
          <w:numId w:val="15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pracownikowi przysługuje przywrócenie do pracy</w:t>
      </w:r>
      <w:r w:rsidR="00695A28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15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pracownikowi przysługuje wyłącznie odszkodowanie</w:t>
      </w:r>
      <w:r w:rsidR="00695A28">
        <w:rPr>
          <w:rFonts w:ascii="Times New Roman" w:hAnsi="Times New Roman" w:cs="Times New Roman"/>
          <w:sz w:val="24"/>
          <w:szCs w:val="24"/>
        </w:rPr>
        <w:t>,</w:t>
      </w:r>
      <w:r w:rsidRPr="004F2C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CEC" w:rsidRDefault="004F2CEC" w:rsidP="0092031B">
      <w:pPr>
        <w:pStyle w:val="Akapitzlist"/>
        <w:numPr>
          <w:ilvl w:val="0"/>
          <w:numId w:val="15"/>
        </w:numPr>
        <w:spacing w:after="0" w:line="276" w:lineRule="auto"/>
        <w:ind w:left="1701" w:hanging="567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pracownikowi nic nie przysługuje</w:t>
      </w:r>
      <w:r w:rsidR="00695A28">
        <w:rPr>
          <w:rFonts w:ascii="Times New Roman" w:hAnsi="Times New Roman" w:cs="Times New Roman"/>
          <w:sz w:val="24"/>
          <w:szCs w:val="24"/>
        </w:rPr>
        <w:t>.</w:t>
      </w:r>
    </w:p>
    <w:p w:rsidR="00695A28" w:rsidRDefault="00695A28" w:rsidP="00695A28">
      <w:pPr>
        <w:pStyle w:val="Akapitzlist"/>
        <w:spacing w:after="0" w:line="276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Pracodawca podejrzewający, że pracownik wykonuje pracę pod wypływem środków odurzających:</w:t>
      </w:r>
    </w:p>
    <w:p w:rsidR="004F2CEC" w:rsidRPr="004F2CEC" w:rsidRDefault="004F2CEC" w:rsidP="0092031B">
      <w:pPr>
        <w:pStyle w:val="Akapitzlist"/>
        <w:numPr>
          <w:ilvl w:val="0"/>
          <w:numId w:val="17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pod warunkami ustawowymi, może przeprowadzić kontrolę pracownika na obecność środków odurzających</w:t>
      </w:r>
      <w:r w:rsidR="00695A28">
        <w:rPr>
          <w:rFonts w:ascii="Times New Roman" w:hAnsi="Times New Roman" w:cs="Times New Roman"/>
          <w:b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17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nie może przeprowadzić kontroli pracownika na obecność środków odurzających</w:t>
      </w:r>
      <w:r w:rsidR="00695A28">
        <w:rPr>
          <w:rFonts w:ascii="Times New Roman" w:hAnsi="Times New Roman" w:cs="Times New Roman"/>
          <w:sz w:val="24"/>
          <w:szCs w:val="24"/>
        </w:rPr>
        <w:t>,</w:t>
      </w:r>
    </w:p>
    <w:p w:rsidR="004F2CEC" w:rsidRDefault="004F2CEC" w:rsidP="0092031B">
      <w:pPr>
        <w:pStyle w:val="Akapitzlist"/>
        <w:numPr>
          <w:ilvl w:val="0"/>
          <w:numId w:val="17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może przeprowadzić dowolną kontrolę pracownika na obecność środków</w:t>
      </w:r>
      <w:r w:rsidR="00114232">
        <w:rPr>
          <w:rFonts w:ascii="Times New Roman" w:hAnsi="Times New Roman" w:cs="Times New Roman"/>
          <w:sz w:val="24"/>
          <w:szCs w:val="24"/>
        </w:rPr>
        <w:t>.</w:t>
      </w:r>
    </w:p>
    <w:p w:rsidR="00114232" w:rsidRDefault="00114232" w:rsidP="001142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14232" w:rsidRPr="00114232" w:rsidRDefault="00114232" w:rsidP="0011423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 xml:space="preserve">W związku z rozwiązaniem lub wygaśnięciem stosunku pracy pracodawca jest obowiązany wydać pracownikowi świadectwo pracy, jeżeli nie zamierza z nim zawrzeć kolejnego stosunku pracy, niezwłocznie, tj.: </w:t>
      </w:r>
    </w:p>
    <w:p w:rsidR="004F2CEC" w:rsidRPr="004F2CEC" w:rsidRDefault="004F2CEC" w:rsidP="0092031B">
      <w:pPr>
        <w:pStyle w:val="Akapitzlist"/>
        <w:numPr>
          <w:ilvl w:val="0"/>
          <w:numId w:val="19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dniu wygaśnięcia lub rozwiązania stosunku pracy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19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ciągu 3 dni roboczych od dnia wygaśnięcia lub rozwiązania stosunku pracy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Default="004F2CEC" w:rsidP="0092031B">
      <w:pPr>
        <w:pStyle w:val="Akapitzlist"/>
        <w:numPr>
          <w:ilvl w:val="0"/>
          <w:numId w:val="19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w ciągu 7 dni od dnia wygaśnięcia lub rozwiązania stosunku pracy</w:t>
      </w:r>
      <w:r w:rsidR="00114232">
        <w:rPr>
          <w:rFonts w:ascii="Times New Roman" w:hAnsi="Times New Roman" w:cs="Times New Roman"/>
          <w:b/>
          <w:sz w:val="24"/>
          <w:szCs w:val="24"/>
        </w:rPr>
        <w:t>.</w:t>
      </w:r>
    </w:p>
    <w:p w:rsidR="00114232" w:rsidRPr="004F2CEC" w:rsidRDefault="00114232" w:rsidP="00114232">
      <w:pPr>
        <w:pStyle w:val="Akapitzlist"/>
        <w:spacing w:after="0" w:line="276" w:lineRule="auto"/>
        <w:ind w:left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Pracownik wykonujący pracę zdalnie może pozostawać:</w:t>
      </w:r>
    </w:p>
    <w:p w:rsidR="004F2CEC" w:rsidRPr="004F2CEC" w:rsidRDefault="004F2CEC" w:rsidP="0092031B">
      <w:pPr>
        <w:pStyle w:val="Akapitzlist"/>
        <w:numPr>
          <w:ilvl w:val="0"/>
          <w:numId w:val="21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dowolnym miejscu według własnego uznania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21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 miejscu wskazanym przez pracodawcę</w:t>
      </w:r>
      <w:r w:rsidR="00114232">
        <w:rPr>
          <w:rFonts w:ascii="Times New Roman" w:hAnsi="Times New Roman" w:cs="Times New Roman"/>
          <w:sz w:val="24"/>
          <w:szCs w:val="24"/>
        </w:rPr>
        <w:t>,</w:t>
      </w:r>
      <w:r w:rsidRPr="004F2C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2CEC" w:rsidRDefault="004F2CEC" w:rsidP="0092031B">
      <w:pPr>
        <w:pStyle w:val="Akapitzlist"/>
        <w:numPr>
          <w:ilvl w:val="0"/>
          <w:numId w:val="21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w miejscu uzgodnionym z pracodawcą</w:t>
      </w:r>
      <w:r w:rsidR="00114232">
        <w:rPr>
          <w:rFonts w:ascii="Times New Roman" w:hAnsi="Times New Roman" w:cs="Times New Roman"/>
          <w:b/>
          <w:sz w:val="24"/>
          <w:szCs w:val="24"/>
        </w:rPr>
        <w:t>.</w:t>
      </w:r>
    </w:p>
    <w:p w:rsidR="00114232" w:rsidRPr="001950C5" w:rsidRDefault="00114232" w:rsidP="00114232">
      <w:pPr>
        <w:pStyle w:val="Akapitzlist"/>
        <w:spacing w:after="0" w:line="276" w:lineRule="auto"/>
        <w:ind w:left="1843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Dni wolne od pracy to:</w:t>
      </w:r>
    </w:p>
    <w:p w:rsidR="004F2CEC" w:rsidRPr="004F2CEC" w:rsidRDefault="004F2CEC" w:rsidP="0092031B">
      <w:pPr>
        <w:pStyle w:val="Akapitzlist"/>
        <w:numPr>
          <w:ilvl w:val="0"/>
          <w:numId w:val="23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soboty, niedziele i święta określone w przepisach o dniach wolnych od pracy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23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niedziele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Default="004F2CEC" w:rsidP="0092031B">
      <w:pPr>
        <w:pStyle w:val="Akapitzlist"/>
        <w:numPr>
          <w:ilvl w:val="0"/>
          <w:numId w:val="23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niedziele i święta określone w przepisach o dniach wolnych od pracy</w:t>
      </w:r>
      <w:r w:rsidR="00114232">
        <w:rPr>
          <w:rFonts w:ascii="Times New Roman" w:hAnsi="Times New Roman" w:cs="Times New Roman"/>
          <w:b/>
          <w:sz w:val="24"/>
          <w:szCs w:val="24"/>
        </w:rPr>
        <w:t>.</w:t>
      </w:r>
    </w:p>
    <w:p w:rsidR="00114232" w:rsidRPr="004F2CEC" w:rsidRDefault="00114232" w:rsidP="00114232">
      <w:pPr>
        <w:pStyle w:val="Akapitzlist"/>
        <w:spacing w:after="0" w:line="276" w:lineRule="auto"/>
        <w:ind w:left="184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</w:pPr>
      <w:bookmarkStart w:id="0" w:name="_GoBack"/>
      <w:bookmarkEnd w:id="0"/>
      <w:r w:rsidRPr="001950C5">
        <w:rPr>
          <w:rFonts w:ascii="Times New Roman" w:eastAsia="Times New Roman" w:hAnsi="Times New Roman" w:cs="Times New Roman"/>
          <w:b/>
          <w:color w:val="0070C0"/>
          <w:sz w:val="24"/>
          <w:szCs w:val="24"/>
          <w:lang w:eastAsia="pl-PL"/>
        </w:rPr>
        <w:t>Sąd właściwy może przekazać sprawę do rozpoznania innemu sądowi równorzędnemu, rozpoznającemu sprawy z zakresu prawa pracy lub ubezpieczeń społecznych, jeżeli przemawiają za tym względy celowości:</w:t>
      </w:r>
    </w:p>
    <w:p w:rsidR="004F2CEC" w:rsidRPr="004F2CEC" w:rsidRDefault="004F2CEC" w:rsidP="0092031B">
      <w:pPr>
        <w:pStyle w:val="Akapitzlist"/>
        <w:numPr>
          <w:ilvl w:val="0"/>
          <w:numId w:val="26"/>
        </w:numPr>
        <w:spacing w:after="0" w:line="276" w:lineRule="auto"/>
        <w:ind w:left="1843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CEC">
        <w:rPr>
          <w:rFonts w:ascii="Times New Roman" w:eastAsia="Times New Roman" w:hAnsi="Times New Roman" w:cs="Times New Roman"/>
          <w:sz w:val="24"/>
          <w:szCs w:val="24"/>
          <w:lang w:eastAsia="pl-PL"/>
        </w:rPr>
        <w:t>gdy uzna to za zasadne,</w:t>
      </w:r>
    </w:p>
    <w:p w:rsidR="004F2CEC" w:rsidRPr="004F2CEC" w:rsidRDefault="004F2CEC" w:rsidP="0092031B">
      <w:pPr>
        <w:pStyle w:val="Akapitzlist"/>
        <w:numPr>
          <w:ilvl w:val="0"/>
          <w:numId w:val="26"/>
        </w:numPr>
        <w:spacing w:after="0" w:line="276" w:lineRule="auto"/>
        <w:ind w:left="1843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F2CEC">
        <w:rPr>
          <w:rFonts w:ascii="Times New Roman" w:eastAsia="Times New Roman" w:hAnsi="Times New Roman" w:cs="Times New Roman"/>
          <w:sz w:val="24"/>
          <w:szCs w:val="24"/>
          <w:lang w:eastAsia="pl-PL"/>
        </w:rPr>
        <w:t>na wniosek jednej ze stron</w:t>
      </w:r>
      <w:r w:rsidR="00114232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4F2CEC" w:rsidRPr="00114232" w:rsidRDefault="004F2CEC" w:rsidP="0092031B">
      <w:pPr>
        <w:pStyle w:val="Akapitzlist"/>
        <w:numPr>
          <w:ilvl w:val="0"/>
          <w:numId w:val="26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 zgodny wniosek stron</w:t>
      </w:r>
      <w:r w:rsidRPr="004F2CE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114232" w:rsidRPr="001950C5" w:rsidRDefault="00114232" w:rsidP="00114232">
      <w:pPr>
        <w:pStyle w:val="Akapitzlist"/>
        <w:spacing w:after="0" w:line="276" w:lineRule="auto"/>
        <w:ind w:left="1843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:rsidR="004F2CEC" w:rsidRPr="001950C5" w:rsidRDefault="004F2CEC" w:rsidP="0092031B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1950C5">
        <w:rPr>
          <w:rFonts w:ascii="Times New Roman" w:hAnsi="Times New Roman" w:cs="Times New Roman"/>
          <w:b/>
          <w:color w:val="0070C0"/>
          <w:sz w:val="24"/>
          <w:szCs w:val="24"/>
        </w:rPr>
        <w:t>Sprawa z zakresu ubezpieczeń społecznych o rentę z tytułu niezdolności do pracy  należy do wyłącznej właściwości:</w:t>
      </w:r>
    </w:p>
    <w:p w:rsidR="004F2CEC" w:rsidRPr="004F2CEC" w:rsidRDefault="004F2CEC" w:rsidP="0092031B">
      <w:pPr>
        <w:pStyle w:val="Akapitzlist"/>
        <w:numPr>
          <w:ilvl w:val="0"/>
          <w:numId w:val="4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sądu rejonowego</w:t>
      </w:r>
      <w:r w:rsidR="00114232">
        <w:rPr>
          <w:rFonts w:ascii="Times New Roman" w:hAnsi="Times New Roman" w:cs="Times New Roman"/>
          <w:sz w:val="24"/>
          <w:szCs w:val="24"/>
        </w:rPr>
        <w:t>,</w:t>
      </w:r>
    </w:p>
    <w:p w:rsidR="004F2CEC" w:rsidRPr="004F2CEC" w:rsidRDefault="004F2CEC" w:rsidP="0092031B">
      <w:pPr>
        <w:pStyle w:val="Akapitzlist"/>
        <w:numPr>
          <w:ilvl w:val="0"/>
          <w:numId w:val="4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F2CEC">
        <w:rPr>
          <w:rFonts w:ascii="Times New Roman" w:hAnsi="Times New Roman" w:cs="Times New Roman"/>
          <w:b/>
          <w:sz w:val="24"/>
          <w:szCs w:val="24"/>
        </w:rPr>
        <w:t>sądu okręgowego</w:t>
      </w:r>
      <w:r w:rsidR="00114232">
        <w:rPr>
          <w:rFonts w:ascii="Times New Roman" w:hAnsi="Times New Roman" w:cs="Times New Roman"/>
          <w:b/>
          <w:sz w:val="24"/>
          <w:szCs w:val="24"/>
        </w:rPr>
        <w:t>,</w:t>
      </w:r>
      <w:r w:rsidRPr="004F2CE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EC" w:rsidRPr="004F2CEC" w:rsidRDefault="004F2CEC" w:rsidP="0092031B">
      <w:pPr>
        <w:pStyle w:val="Akapitzlist"/>
        <w:numPr>
          <w:ilvl w:val="0"/>
          <w:numId w:val="4"/>
        </w:numPr>
        <w:spacing w:after="0" w:line="276" w:lineRule="auto"/>
        <w:ind w:left="1843" w:hanging="709"/>
        <w:jc w:val="both"/>
        <w:rPr>
          <w:rFonts w:ascii="Times New Roman" w:hAnsi="Times New Roman" w:cs="Times New Roman"/>
          <w:sz w:val="24"/>
          <w:szCs w:val="24"/>
        </w:rPr>
      </w:pPr>
      <w:r w:rsidRPr="004F2CEC">
        <w:rPr>
          <w:rFonts w:ascii="Times New Roman" w:hAnsi="Times New Roman" w:cs="Times New Roman"/>
          <w:sz w:val="24"/>
          <w:szCs w:val="24"/>
        </w:rPr>
        <w:t>właściwość sądu zależy od wartości renty</w:t>
      </w:r>
      <w:r w:rsidR="00114232">
        <w:rPr>
          <w:rFonts w:ascii="Times New Roman" w:hAnsi="Times New Roman" w:cs="Times New Roman"/>
          <w:sz w:val="24"/>
          <w:szCs w:val="24"/>
        </w:rPr>
        <w:t>.</w:t>
      </w:r>
    </w:p>
    <w:p w:rsidR="004F2CEC" w:rsidRPr="004F2CEC" w:rsidRDefault="004F2CEC" w:rsidP="009203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E5CDB" w:rsidRPr="004F2CEC" w:rsidRDefault="005E5CDB" w:rsidP="009203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54D8" w:rsidRPr="004F2CEC" w:rsidRDefault="002E54D8" w:rsidP="0092031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E54D8" w:rsidRPr="004F2C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1776"/>
    <w:multiLevelType w:val="hybridMultilevel"/>
    <w:tmpl w:val="8EE451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27581"/>
    <w:multiLevelType w:val="hybridMultilevel"/>
    <w:tmpl w:val="B93CA8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72EA2"/>
    <w:multiLevelType w:val="hybridMultilevel"/>
    <w:tmpl w:val="86CE37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574B1"/>
    <w:multiLevelType w:val="hybridMultilevel"/>
    <w:tmpl w:val="1554B5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640A0B"/>
    <w:multiLevelType w:val="hybridMultilevel"/>
    <w:tmpl w:val="5ADAC02E"/>
    <w:lvl w:ilvl="0" w:tplc="3600EE7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A87B76"/>
    <w:multiLevelType w:val="hybridMultilevel"/>
    <w:tmpl w:val="3D08E7C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95E2405"/>
    <w:multiLevelType w:val="hybridMultilevel"/>
    <w:tmpl w:val="AF6C5D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0629C3"/>
    <w:multiLevelType w:val="hybridMultilevel"/>
    <w:tmpl w:val="9E36EE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C62F0"/>
    <w:multiLevelType w:val="hybridMultilevel"/>
    <w:tmpl w:val="F0720FE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853A53"/>
    <w:multiLevelType w:val="hybridMultilevel"/>
    <w:tmpl w:val="93BC10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E0BA9"/>
    <w:multiLevelType w:val="hybridMultilevel"/>
    <w:tmpl w:val="07F212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050BFE"/>
    <w:multiLevelType w:val="hybridMultilevel"/>
    <w:tmpl w:val="BD805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84841"/>
    <w:multiLevelType w:val="hybridMultilevel"/>
    <w:tmpl w:val="794E2F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69B7"/>
    <w:multiLevelType w:val="hybridMultilevel"/>
    <w:tmpl w:val="2028FE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B08322E">
      <w:start w:val="1"/>
      <w:numFmt w:val="lowerLetter"/>
      <w:lvlText w:val="%2)"/>
      <w:lvlJc w:val="left"/>
      <w:pPr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C17CE"/>
    <w:multiLevelType w:val="hybridMultilevel"/>
    <w:tmpl w:val="62EC922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E71CCE"/>
    <w:multiLevelType w:val="hybridMultilevel"/>
    <w:tmpl w:val="84EA6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7462F0"/>
    <w:multiLevelType w:val="hybridMultilevel"/>
    <w:tmpl w:val="DE76E2E0"/>
    <w:lvl w:ilvl="0" w:tplc="BF5CBD4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4D4289"/>
    <w:multiLevelType w:val="hybridMultilevel"/>
    <w:tmpl w:val="65CA79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90837"/>
    <w:multiLevelType w:val="hybridMultilevel"/>
    <w:tmpl w:val="9976E9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F21DD"/>
    <w:multiLevelType w:val="hybridMultilevel"/>
    <w:tmpl w:val="898EB7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D971CD"/>
    <w:multiLevelType w:val="hybridMultilevel"/>
    <w:tmpl w:val="9BEE8FB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E42DC8"/>
    <w:multiLevelType w:val="hybridMultilevel"/>
    <w:tmpl w:val="361884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1A52A8"/>
    <w:multiLevelType w:val="hybridMultilevel"/>
    <w:tmpl w:val="352E75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875528"/>
    <w:multiLevelType w:val="hybridMultilevel"/>
    <w:tmpl w:val="3CF636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F433EA"/>
    <w:multiLevelType w:val="hybridMultilevel"/>
    <w:tmpl w:val="3E6AE2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2709C2"/>
    <w:multiLevelType w:val="hybridMultilevel"/>
    <w:tmpl w:val="1FAEC7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8"/>
  </w:num>
  <w:num w:numId="5">
    <w:abstractNumId w:val="23"/>
  </w:num>
  <w:num w:numId="6">
    <w:abstractNumId w:val="25"/>
  </w:num>
  <w:num w:numId="7">
    <w:abstractNumId w:val="3"/>
  </w:num>
  <w:num w:numId="8">
    <w:abstractNumId w:val="10"/>
  </w:num>
  <w:num w:numId="9">
    <w:abstractNumId w:val="4"/>
  </w:num>
  <w:num w:numId="10">
    <w:abstractNumId w:val="15"/>
  </w:num>
  <w:num w:numId="11">
    <w:abstractNumId w:val="24"/>
  </w:num>
  <w:num w:numId="12">
    <w:abstractNumId w:val="9"/>
  </w:num>
  <w:num w:numId="13">
    <w:abstractNumId w:val="20"/>
  </w:num>
  <w:num w:numId="14">
    <w:abstractNumId w:val="2"/>
  </w:num>
  <w:num w:numId="15">
    <w:abstractNumId w:val="8"/>
  </w:num>
  <w:num w:numId="16">
    <w:abstractNumId w:val="19"/>
  </w:num>
  <w:num w:numId="17">
    <w:abstractNumId w:val="0"/>
  </w:num>
  <w:num w:numId="18">
    <w:abstractNumId w:val="7"/>
  </w:num>
  <w:num w:numId="19">
    <w:abstractNumId w:val="14"/>
  </w:num>
  <w:num w:numId="20">
    <w:abstractNumId w:val="12"/>
  </w:num>
  <w:num w:numId="21">
    <w:abstractNumId w:val="1"/>
  </w:num>
  <w:num w:numId="22">
    <w:abstractNumId w:val="17"/>
  </w:num>
  <w:num w:numId="23">
    <w:abstractNumId w:val="22"/>
  </w:num>
  <w:num w:numId="24">
    <w:abstractNumId w:val="21"/>
  </w:num>
  <w:num w:numId="25">
    <w:abstractNumId w:val="6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477"/>
    <w:rsid w:val="000F71F8"/>
    <w:rsid w:val="00114232"/>
    <w:rsid w:val="001950C5"/>
    <w:rsid w:val="00216FCD"/>
    <w:rsid w:val="002E54D8"/>
    <w:rsid w:val="004F2CEC"/>
    <w:rsid w:val="005E5CDB"/>
    <w:rsid w:val="00695A28"/>
    <w:rsid w:val="006E495D"/>
    <w:rsid w:val="00712860"/>
    <w:rsid w:val="007A4894"/>
    <w:rsid w:val="0092031B"/>
    <w:rsid w:val="00B71477"/>
    <w:rsid w:val="00F3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83E0"/>
  <w15:chartTrackingRefBased/>
  <w15:docId w15:val="{C57C126F-2879-4BDC-9EBF-5D9C2FC4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71477"/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714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8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86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1331</Words>
  <Characters>7990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Durakiewicz Urszula</dc:creator>
  <cp:keywords/>
  <dc:description/>
  <cp:lastModifiedBy>Łysiak Katarzyna</cp:lastModifiedBy>
  <cp:revision>4</cp:revision>
  <cp:lastPrinted>2023-05-02T12:20:00Z</cp:lastPrinted>
  <dcterms:created xsi:type="dcterms:W3CDTF">2023-05-02T11:38:00Z</dcterms:created>
  <dcterms:modified xsi:type="dcterms:W3CDTF">2023-05-04T11:01:00Z</dcterms:modified>
</cp:coreProperties>
</file>