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273" w:rsidRPr="005418A4" w:rsidRDefault="00136273" w:rsidP="007158A1">
      <w:pPr>
        <w:spacing w:line="276" w:lineRule="auto"/>
        <w:rPr>
          <w:rFonts w:asciiTheme="minorHAnsi" w:hAnsiTheme="minorHAnsi" w:cstheme="minorHAnsi"/>
        </w:rPr>
      </w:pPr>
    </w:p>
    <w:p w:rsidR="008B65A4" w:rsidRPr="008B65A4" w:rsidRDefault="008B65A4" w:rsidP="008B65A4">
      <w:pPr>
        <w:pStyle w:val="Akapitzlist"/>
        <w:autoSpaceDE w:val="0"/>
        <w:autoSpaceDN w:val="0"/>
        <w:adjustRightInd w:val="0"/>
        <w:ind w:left="431"/>
        <w:jc w:val="center"/>
        <w:rPr>
          <w:rFonts w:asciiTheme="minorHAnsi" w:hAnsiTheme="minorHAnsi" w:cstheme="minorHAnsi"/>
          <w:b/>
          <w:szCs w:val="24"/>
        </w:rPr>
      </w:pPr>
      <w:r w:rsidRPr="008B65A4">
        <w:rPr>
          <w:rFonts w:asciiTheme="minorHAnsi" w:hAnsiTheme="minorHAnsi" w:cstheme="minorHAnsi"/>
          <w:b/>
          <w:szCs w:val="24"/>
        </w:rPr>
        <w:t>TEST NA KONKURS NA 1 STANOWISKO ASYSTENTA SĘDZIEGO</w:t>
      </w:r>
    </w:p>
    <w:p w:rsidR="008B65A4" w:rsidRPr="008B65A4" w:rsidRDefault="008B65A4" w:rsidP="008B65A4">
      <w:pPr>
        <w:pStyle w:val="Akapitzlist"/>
        <w:autoSpaceDE w:val="0"/>
        <w:autoSpaceDN w:val="0"/>
        <w:adjustRightInd w:val="0"/>
        <w:ind w:left="431"/>
        <w:jc w:val="center"/>
        <w:rPr>
          <w:rFonts w:asciiTheme="minorHAnsi" w:hAnsiTheme="minorHAnsi" w:cstheme="minorHAnsi"/>
          <w:b/>
          <w:szCs w:val="24"/>
        </w:rPr>
      </w:pPr>
      <w:r w:rsidRPr="008B65A4">
        <w:rPr>
          <w:rFonts w:asciiTheme="minorHAnsi" w:hAnsiTheme="minorHAnsi" w:cstheme="minorHAnsi"/>
          <w:b/>
          <w:szCs w:val="24"/>
        </w:rPr>
        <w:t>W SĄDZIE APELACYJNYM W SZCZECINIE</w:t>
      </w:r>
    </w:p>
    <w:p w:rsidR="008B65A4" w:rsidRPr="008B65A4" w:rsidRDefault="008B65A4" w:rsidP="008B65A4">
      <w:pPr>
        <w:pStyle w:val="Akapitzlist"/>
        <w:autoSpaceDE w:val="0"/>
        <w:autoSpaceDN w:val="0"/>
        <w:adjustRightInd w:val="0"/>
        <w:ind w:left="431"/>
        <w:jc w:val="center"/>
        <w:rPr>
          <w:rFonts w:asciiTheme="minorHAnsi" w:hAnsiTheme="minorHAnsi" w:cstheme="minorHAnsi"/>
          <w:b/>
          <w:szCs w:val="24"/>
        </w:rPr>
      </w:pPr>
      <w:r w:rsidRPr="008B65A4">
        <w:rPr>
          <w:rFonts w:asciiTheme="minorHAnsi" w:hAnsiTheme="minorHAnsi" w:cstheme="minorHAnsi"/>
          <w:b/>
          <w:szCs w:val="24"/>
        </w:rPr>
        <w:t xml:space="preserve">PRZEPROWADZANY </w:t>
      </w:r>
      <w:r w:rsidR="00400FD0">
        <w:rPr>
          <w:rFonts w:asciiTheme="minorHAnsi" w:hAnsiTheme="minorHAnsi" w:cstheme="minorHAnsi"/>
          <w:b/>
          <w:szCs w:val="24"/>
        </w:rPr>
        <w:t>23 KWIETNIA 2025</w:t>
      </w:r>
      <w:r w:rsidRPr="008B65A4">
        <w:rPr>
          <w:rFonts w:asciiTheme="minorHAnsi" w:hAnsiTheme="minorHAnsi" w:cstheme="minorHAnsi"/>
          <w:b/>
          <w:szCs w:val="24"/>
        </w:rPr>
        <w:t xml:space="preserve"> R.</w:t>
      </w:r>
    </w:p>
    <w:p w:rsidR="008B65A4" w:rsidRPr="008B65A4" w:rsidRDefault="008B65A4" w:rsidP="008B65A4">
      <w:pPr>
        <w:pStyle w:val="Akapitzlist"/>
        <w:autoSpaceDE w:val="0"/>
        <w:autoSpaceDN w:val="0"/>
        <w:adjustRightInd w:val="0"/>
        <w:ind w:left="431"/>
        <w:jc w:val="center"/>
        <w:rPr>
          <w:rFonts w:asciiTheme="minorHAnsi" w:hAnsiTheme="minorHAnsi" w:cstheme="minorHAnsi"/>
          <w:b/>
          <w:szCs w:val="24"/>
        </w:rPr>
      </w:pPr>
      <w:r w:rsidRPr="008B65A4">
        <w:rPr>
          <w:rFonts w:asciiTheme="minorHAnsi" w:hAnsiTheme="minorHAnsi" w:cstheme="minorHAnsi"/>
          <w:b/>
          <w:szCs w:val="24"/>
        </w:rPr>
        <w:t>(Kd.</w:t>
      </w:r>
      <w:r w:rsidR="00400FD0">
        <w:rPr>
          <w:rFonts w:asciiTheme="minorHAnsi" w:hAnsiTheme="minorHAnsi" w:cstheme="minorHAnsi"/>
          <w:b/>
          <w:szCs w:val="24"/>
        </w:rPr>
        <w:t>1101.1.4.2025</w:t>
      </w:r>
      <w:r w:rsidRPr="008B65A4">
        <w:rPr>
          <w:rFonts w:asciiTheme="minorHAnsi" w:hAnsiTheme="minorHAnsi" w:cstheme="minorHAnsi"/>
          <w:b/>
          <w:szCs w:val="24"/>
        </w:rPr>
        <w:t>)</w:t>
      </w:r>
    </w:p>
    <w:p w:rsidR="008B65A4" w:rsidRDefault="008B65A4" w:rsidP="008B65A4">
      <w:pPr>
        <w:pStyle w:val="Akapitzlist"/>
        <w:spacing w:line="276" w:lineRule="auto"/>
        <w:ind w:left="0"/>
        <w:rPr>
          <w:rFonts w:asciiTheme="minorHAnsi" w:hAnsiTheme="minorHAnsi" w:cstheme="minorHAnsi"/>
          <w:szCs w:val="24"/>
        </w:rPr>
      </w:pPr>
    </w:p>
    <w:p w:rsidR="008B65A4" w:rsidRPr="008B65A4" w:rsidRDefault="008B65A4" w:rsidP="008B65A4">
      <w:pPr>
        <w:pStyle w:val="Akapitzlist"/>
        <w:spacing w:line="276" w:lineRule="auto"/>
        <w:ind w:left="0"/>
        <w:rPr>
          <w:rFonts w:asciiTheme="minorHAnsi" w:hAnsiTheme="minorHAnsi" w:cstheme="minorHAnsi"/>
          <w:szCs w:val="24"/>
        </w:rPr>
      </w:pPr>
    </w:p>
    <w:p w:rsidR="00136273" w:rsidRPr="00265DDD" w:rsidRDefault="00136273" w:rsidP="008B65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</w:rPr>
        <w:t>Pracownik to osoba zatrudniona na podstawie:</w:t>
      </w:r>
    </w:p>
    <w:p w:rsidR="00136273" w:rsidRPr="005418A4" w:rsidRDefault="00136273" w:rsidP="005418A4">
      <w:pPr>
        <w:pStyle w:val="Akapitzlist"/>
        <w:numPr>
          <w:ilvl w:val="0"/>
          <w:numId w:val="4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umowy o dzieło</w:t>
      </w:r>
    </w:p>
    <w:p w:rsidR="00136273" w:rsidRPr="005418A4" w:rsidRDefault="00136273" w:rsidP="005418A4">
      <w:pPr>
        <w:pStyle w:val="Akapitzlist"/>
        <w:numPr>
          <w:ilvl w:val="0"/>
          <w:numId w:val="4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umowy zlecenia</w:t>
      </w:r>
    </w:p>
    <w:p w:rsidR="009B6493" w:rsidRPr="005418A4" w:rsidRDefault="009B6493" w:rsidP="005418A4">
      <w:pPr>
        <w:pStyle w:val="Akapitzlist"/>
        <w:numPr>
          <w:ilvl w:val="0"/>
          <w:numId w:val="4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umowy o pracę.</w:t>
      </w:r>
    </w:p>
    <w:p w:rsidR="00A57C37" w:rsidRPr="005418A4" w:rsidRDefault="00A57C37" w:rsidP="005418A4">
      <w:pPr>
        <w:spacing w:line="276" w:lineRule="auto"/>
        <w:rPr>
          <w:rFonts w:asciiTheme="minorHAnsi" w:hAnsiTheme="minorHAnsi" w:cstheme="minorHAnsi"/>
          <w:b/>
        </w:rPr>
      </w:pPr>
    </w:p>
    <w:p w:rsidR="00A57C37" w:rsidRPr="00265DDD" w:rsidRDefault="00A57C37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Pierwszy urlop wypoczynkowy przysługuje w wymiarze to:</w:t>
      </w:r>
    </w:p>
    <w:p w:rsidR="00A57C37" w:rsidRPr="005418A4" w:rsidRDefault="00A57C37" w:rsidP="005418A4">
      <w:pPr>
        <w:pStyle w:val="Akapitzlist"/>
        <w:numPr>
          <w:ilvl w:val="0"/>
          <w:numId w:val="5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 xml:space="preserve">16 dni </w:t>
      </w:r>
    </w:p>
    <w:p w:rsidR="00A57C37" w:rsidRPr="005418A4" w:rsidRDefault="00A57C37" w:rsidP="005418A4">
      <w:pPr>
        <w:pStyle w:val="Akapitzlist"/>
        <w:numPr>
          <w:ilvl w:val="0"/>
          <w:numId w:val="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20 dni</w:t>
      </w:r>
    </w:p>
    <w:p w:rsidR="00A57C37" w:rsidRPr="005418A4" w:rsidRDefault="00A57C37" w:rsidP="005418A4">
      <w:pPr>
        <w:pStyle w:val="Akapitzlist"/>
        <w:numPr>
          <w:ilvl w:val="0"/>
          <w:numId w:val="5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26 dni.</w:t>
      </w:r>
    </w:p>
    <w:p w:rsidR="00A57C37" w:rsidRPr="005418A4" w:rsidRDefault="00A57C37" w:rsidP="005418A4">
      <w:pPr>
        <w:spacing w:line="276" w:lineRule="auto"/>
        <w:rPr>
          <w:rFonts w:asciiTheme="minorHAnsi" w:hAnsiTheme="minorHAnsi" w:cstheme="minorHAnsi"/>
        </w:rPr>
      </w:pPr>
    </w:p>
    <w:p w:rsidR="00BA0E56" w:rsidRPr="00265DDD" w:rsidRDefault="00BA0E56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Te same strony – pracownik i pracodawca – mogą zawrzeć bez dalszych konsekwencji:</w:t>
      </w:r>
    </w:p>
    <w:p w:rsidR="00BA0E56" w:rsidRPr="005418A4" w:rsidRDefault="00BA0E56" w:rsidP="005418A4">
      <w:pPr>
        <w:pStyle w:val="Akapitzlist"/>
        <w:numPr>
          <w:ilvl w:val="0"/>
          <w:numId w:val="7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cztery umowy o pracę na czas określony</w:t>
      </w:r>
    </w:p>
    <w:p w:rsidR="00BA0E56" w:rsidRPr="005418A4" w:rsidRDefault="00BA0E56" w:rsidP="005418A4">
      <w:pPr>
        <w:pStyle w:val="Akapitzlist"/>
        <w:numPr>
          <w:ilvl w:val="0"/>
          <w:numId w:val="7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dwie umowy o pracę na czas określony łącznie na okres nie przekraczający 48 miesięcy</w:t>
      </w:r>
    </w:p>
    <w:p w:rsidR="00BA0E56" w:rsidRPr="005418A4" w:rsidRDefault="00BA0E56" w:rsidP="005418A4">
      <w:pPr>
        <w:pStyle w:val="Akapitzlist"/>
        <w:numPr>
          <w:ilvl w:val="0"/>
          <w:numId w:val="7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trzy umowy o pracę na czas określony nie przekraczający łącznie okres 33 miesięcy.</w:t>
      </w:r>
    </w:p>
    <w:p w:rsidR="00BA0E56" w:rsidRPr="005418A4" w:rsidRDefault="00BA0E56" w:rsidP="005418A4">
      <w:pPr>
        <w:spacing w:line="276" w:lineRule="auto"/>
        <w:rPr>
          <w:rFonts w:asciiTheme="minorHAnsi" w:hAnsiTheme="minorHAnsi" w:cstheme="minorHAnsi"/>
          <w:b/>
        </w:rPr>
      </w:pPr>
    </w:p>
    <w:p w:rsidR="00364B0D" w:rsidRPr="00265DDD" w:rsidRDefault="00364B0D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Pracownik powinien złożenia oświadczenia o wypowiedzeniu lub rozwiązaniu umowy o pracę:</w:t>
      </w:r>
    </w:p>
    <w:p w:rsidR="00364B0D" w:rsidRPr="005418A4" w:rsidRDefault="00364B0D" w:rsidP="005418A4">
      <w:pPr>
        <w:pStyle w:val="Akapitzlist"/>
        <w:numPr>
          <w:ilvl w:val="0"/>
          <w:numId w:val="8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na piśmie</w:t>
      </w:r>
    </w:p>
    <w:p w:rsidR="00364B0D" w:rsidRPr="005418A4" w:rsidRDefault="00364B0D" w:rsidP="005418A4">
      <w:pPr>
        <w:pStyle w:val="Akapitzlist"/>
        <w:numPr>
          <w:ilvl w:val="0"/>
          <w:numId w:val="8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ustnie</w:t>
      </w:r>
    </w:p>
    <w:p w:rsidR="00364B0D" w:rsidRPr="005418A4" w:rsidRDefault="00AF5E4C" w:rsidP="005418A4">
      <w:pPr>
        <w:pStyle w:val="Akapitzlist"/>
        <w:numPr>
          <w:ilvl w:val="0"/>
          <w:numId w:val="8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 xml:space="preserve">może złożyć </w:t>
      </w:r>
      <w:r w:rsidR="00364B0D" w:rsidRPr="005418A4">
        <w:rPr>
          <w:rFonts w:asciiTheme="minorHAnsi" w:hAnsiTheme="minorHAnsi" w:cstheme="minorHAnsi"/>
          <w:szCs w:val="24"/>
        </w:rPr>
        <w:t>przez każde zachowanie, które odzwierciedla jego wolę.</w:t>
      </w:r>
    </w:p>
    <w:p w:rsidR="00BA0E56" w:rsidRPr="005418A4" w:rsidRDefault="00BA0E56" w:rsidP="005418A4">
      <w:pPr>
        <w:spacing w:line="276" w:lineRule="auto"/>
        <w:rPr>
          <w:rFonts w:asciiTheme="minorHAnsi" w:hAnsiTheme="minorHAnsi" w:cstheme="minorHAnsi"/>
        </w:rPr>
      </w:pPr>
    </w:p>
    <w:p w:rsidR="00A27930" w:rsidRPr="00265DDD" w:rsidRDefault="00A27930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Pracodawca może rozwiązać umowy o pracę bez wypowiedzenia bez winy pracownika w przypadku:</w:t>
      </w:r>
    </w:p>
    <w:p w:rsidR="00A27930" w:rsidRPr="005418A4" w:rsidRDefault="00A27930" w:rsidP="005418A4">
      <w:pPr>
        <w:pStyle w:val="Akapitzlist"/>
        <w:numPr>
          <w:ilvl w:val="0"/>
          <w:numId w:val="10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color w:val="333333"/>
          <w:szCs w:val="24"/>
        </w:rPr>
        <w:t>zawinionej przez pracownika utraty uprawnień koniecznych do wykonywania pracy na zajmowanym stanowisku</w:t>
      </w:r>
    </w:p>
    <w:p w:rsidR="00A27930" w:rsidRPr="005418A4" w:rsidRDefault="00A27930" w:rsidP="005418A4">
      <w:pPr>
        <w:pStyle w:val="Akapitzlist"/>
        <w:numPr>
          <w:ilvl w:val="0"/>
          <w:numId w:val="10"/>
        </w:numPr>
        <w:spacing w:line="276" w:lineRule="auto"/>
        <w:ind w:left="0" w:firstLine="0"/>
        <w:rPr>
          <w:rFonts w:asciiTheme="minorHAnsi" w:eastAsia="Times New Roman" w:hAnsiTheme="minorHAnsi" w:cstheme="minorHAnsi"/>
          <w:b/>
          <w:szCs w:val="24"/>
          <w:lang w:eastAsia="pl-PL"/>
        </w:rPr>
      </w:pPr>
      <w:r w:rsidRPr="005418A4">
        <w:rPr>
          <w:rFonts w:asciiTheme="minorHAnsi" w:eastAsia="Times New Roman" w:hAnsiTheme="minorHAnsi" w:cstheme="minorHAnsi"/>
          <w:b/>
          <w:color w:val="333333"/>
          <w:szCs w:val="24"/>
          <w:lang w:eastAsia="pl-PL"/>
        </w:rPr>
        <w:t>jeżeli niezdolność pracownika do pracy wskutek choroby trwa dłużej niż 3 miesiące - gdy pracownik był zatrudniony u danego pracodawcy krócej niż 6 miesięcy</w:t>
      </w:r>
    </w:p>
    <w:p w:rsidR="00A27930" w:rsidRPr="005418A4" w:rsidRDefault="00A27930" w:rsidP="005418A4">
      <w:pPr>
        <w:pStyle w:val="Akapitzlist"/>
        <w:numPr>
          <w:ilvl w:val="0"/>
          <w:numId w:val="10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color w:val="333333"/>
          <w:szCs w:val="24"/>
        </w:rPr>
        <w:t>w razie usprawiedliwionej nieobecności pracownika w pracy trwającej dłużej niż 1 tydzień.</w:t>
      </w:r>
    </w:p>
    <w:p w:rsidR="00B22B18" w:rsidRPr="005418A4" w:rsidRDefault="00B22B18" w:rsidP="005418A4">
      <w:pPr>
        <w:spacing w:line="276" w:lineRule="auto"/>
        <w:rPr>
          <w:rFonts w:asciiTheme="minorHAnsi" w:hAnsiTheme="minorHAnsi" w:cstheme="minorHAnsi"/>
        </w:rPr>
      </w:pPr>
    </w:p>
    <w:p w:rsidR="00BA3E28" w:rsidRPr="00265DDD" w:rsidRDefault="00BA3E28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Pracownik:</w:t>
      </w:r>
    </w:p>
    <w:p w:rsidR="00BA3E28" w:rsidRPr="005418A4" w:rsidRDefault="00BA3E28" w:rsidP="005418A4">
      <w:pPr>
        <w:pStyle w:val="Akapitzlist"/>
        <w:numPr>
          <w:ilvl w:val="0"/>
          <w:numId w:val="11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może zrzec się wynagrodzenia za pracę</w:t>
      </w:r>
    </w:p>
    <w:p w:rsidR="00BA3E28" w:rsidRPr="005418A4" w:rsidRDefault="00BA3E28" w:rsidP="005418A4">
      <w:pPr>
        <w:pStyle w:val="Akapitzlist"/>
        <w:numPr>
          <w:ilvl w:val="0"/>
          <w:numId w:val="11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nie może zrzec się wynagrodzenia za pracę</w:t>
      </w:r>
    </w:p>
    <w:p w:rsidR="00BA3E28" w:rsidRPr="005418A4" w:rsidRDefault="00BA3E28" w:rsidP="005418A4">
      <w:pPr>
        <w:pStyle w:val="Akapitzlist"/>
        <w:numPr>
          <w:ilvl w:val="0"/>
          <w:numId w:val="11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może przenieść prawo do wynagrodzenia za pracę na inną osobę.</w:t>
      </w:r>
    </w:p>
    <w:p w:rsidR="00717B8A" w:rsidRPr="005418A4" w:rsidRDefault="00717B8A" w:rsidP="005418A4">
      <w:pPr>
        <w:spacing w:line="276" w:lineRule="auto"/>
        <w:rPr>
          <w:rFonts w:asciiTheme="minorHAnsi" w:hAnsiTheme="minorHAnsi" w:cstheme="minorHAnsi"/>
        </w:rPr>
      </w:pPr>
    </w:p>
    <w:p w:rsidR="002C0E1B" w:rsidRPr="00265DDD" w:rsidRDefault="002C0E1B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lastRenderedPageBreak/>
        <w:t>Pracownicy w ciąży nie wolno zatrudniać:</w:t>
      </w:r>
    </w:p>
    <w:p w:rsidR="002C0E1B" w:rsidRPr="005418A4" w:rsidRDefault="002C0E1B" w:rsidP="005418A4">
      <w:pPr>
        <w:pStyle w:val="Akapitzlist"/>
        <w:numPr>
          <w:ilvl w:val="0"/>
          <w:numId w:val="14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w godzinach nadliczbowych</w:t>
      </w:r>
    </w:p>
    <w:p w:rsidR="002C0E1B" w:rsidRPr="005418A4" w:rsidRDefault="002C0E1B" w:rsidP="005418A4">
      <w:pPr>
        <w:pStyle w:val="Akapitzlist"/>
        <w:numPr>
          <w:ilvl w:val="0"/>
          <w:numId w:val="14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na wolnym powietrzu</w:t>
      </w:r>
    </w:p>
    <w:p w:rsidR="002C0E1B" w:rsidRPr="005418A4" w:rsidRDefault="002C0E1B" w:rsidP="005418A4">
      <w:pPr>
        <w:pStyle w:val="Akapitzlist"/>
        <w:numPr>
          <w:ilvl w:val="0"/>
          <w:numId w:val="14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przy taśmie produkcyjnej.</w:t>
      </w:r>
    </w:p>
    <w:p w:rsidR="00A94493" w:rsidRPr="005418A4" w:rsidRDefault="00A94493" w:rsidP="005418A4">
      <w:pPr>
        <w:spacing w:line="276" w:lineRule="auto"/>
        <w:rPr>
          <w:rFonts w:asciiTheme="minorHAnsi" w:hAnsiTheme="minorHAnsi" w:cstheme="minorHAnsi"/>
        </w:rPr>
      </w:pPr>
    </w:p>
    <w:p w:rsidR="00D34859" w:rsidRPr="00265DDD" w:rsidRDefault="00D34859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Pracodawca nie może zastosować w ramach odpowiedzialności porządkowej wobec pracownika kary:</w:t>
      </w:r>
    </w:p>
    <w:p w:rsidR="00D34859" w:rsidRPr="005418A4" w:rsidRDefault="00D34859" w:rsidP="005418A4">
      <w:pPr>
        <w:pStyle w:val="Akapitzlist"/>
        <w:numPr>
          <w:ilvl w:val="0"/>
          <w:numId w:val="15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nagany</w:t>
      </w:r>
    </w:p>
    <w:p w:rsidR="00D34859" w:rsidRPr="005418A4" w:rsidRDefault="00D34859" w:rsidP="005418A4">
      <w:pPr>
        <w:pStyle w:val="Akapitzlist"/>
        <w:numPr>
          <w:ilvl w:val="0"/>
          <w:numId w:val="15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pieniężnej</w:t>
      </w:r>
    </w:p>
    <w:p w:rsidR="00D34859" w:rsidRPr="005418A4" w:rsidRDefault="00D34859" w:rsidP="005418A4">
      <w:pPr>
        <w:pStyle w:val="Akapitzlist"/>
        <w:numPr>
          <w:ilvl w:val="0"/>
          <w:numId w:val="1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wydłużenia dobowej normy czasu pracy.</w:t>
      </w:r>
    </w:p>
    <w:p w:rsidR="00D34859" w:rsidRPr="005418A4" w:rsidRDefault="00D34859" w:rsidP="005418A4">
      <w:pPr>
        <w:spacing w:line="276" w:lineRule="auto"/>
        <w:rPr>
          <w:rFonts w:asciiTheme="minorHAnsi" w:hAnsiTheme="minorHAnsi" w:cstheme="minorHAnsi"/>
        </w:rPr>
      </w:pPr>
    </w:p>
    <w:p w:rsidR="00D34859" w:rsidRPr="00265DDD" w:rsidRDefault="00D34859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Wynagrodzenie za okres niezdolności do pracy wskutek choroby pracownikowi wypłaca:</w:t>
      </w:r>
    </w:p>
    <w:p w:rsidR="00D34859" w:rsidRPr="005418A4" w:rsidRDefault="00D34859" w:rsidP="005418A4">
      <w:pPr>
        <w:pStyle w:val="Akapitzlist"/>
        <w:numPr>
          <w:ilvl w:val="0"/>
          <w:numId w:val="16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ubezpieczyciel</w:t>
      </w:r>
    </w:p>
    <w:p w:rsidR="00D34859" w:rsidRPr="005418A4" w:rsidRDefault="00D34859" w:rsidP="005418A4">
      <w:pPr>
        <w:pStyle w:val="Akapitzlist"/>
        <w:numPr>
          <w:ilvl w:val="0"/>
          <w:numId w:val="16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 xml:space="preserve">pracodawca </w:t>
      </w:r>
    </w:p>
    <w:p w:rsidR="00D34859" w:rsidRPr="005418A4" w:rsidRDefault="00D34859" w:rsidP="005418A4">
      <w:pPr>
        <w:pStyle w:val="Akapitzlist"/>
        <w:numPr>
          <w:ilvl w:val="0"/>
          <w:numId w:val="16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Zakład Ubezpieczeń Społecznych</w:t>
      </w:r>
      <w:r w:rsidR="00B22B18" w:rsidRPr="005418A4">
        <w:rPr>
          <w:rFonts w:asciiTheme="minorHAnsi" w:hAnsiTheme="minorHAnsi" w:cstheme="minorHAnsi"/>
          <w:szCs w:val="24"/>
        </w:rPr>
        <w:t>.</w:t>
      </w:r>
    </w:p>
    <w:p w:rsidR="00B22B18" w:rsidRPr="005418A4" w:rsidRDefault="00B22B18" w:rsidP="005418A4">
      <w:pPr>
        <w:spacing w:line="276" w:lineRule="auto"/>
        <w:rPr>
          <w:rFonts w:asciiTheme="minorHAnsi" w:hAnsiTheme="minorHAnsi" w:cstheme="minorHAnsi"/>
        </w:rPr>
      </w:pPr>
    </w:p>
    <w:p w:rsidR="00EF66CC" w:rsidRPr="00265DDD" w:rsidRDefault="00EF66CC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 xml:space="preserve">Pracownikowi przysługuje w każdej dobie prawo do nieprzerwanego odpoczynku w wymiarze co najmniej: </w:t>
      </w:r>
    </w:p>
    <w:p w:rsidR="00EF66CC" w:rsidRPr="005418A4" w:rsidRDefault="00EF66CC" w:rsidP="005418A4">
      <w:pPr>
        <w:spacing w:line="276" w:lineRule="auto"/>
        <w:rPr>
          <w:rFonts w:asciiTheme="minorHAnsi" w:hAnsiTheme="minorHAnsi" w:cstheme="minorHAnsi"/>
        </w:rPr>
      </w:pPr>
      <w:r w:rsidRPr="005418A4">
        <w:rPr>
          <w:rFonts w:asciiTheme="minorHAnsi" w:hAnsiTheme="minorHAnsi" w:cstheme="minorHAnsi"/>
        </w:rPr>
        <w:t>a) 10 godzin</w:t>
      </w:r>
    </w:p>
    <w:p w:rsidR="00EF66CC" w:rsidRPr="005418A4" w:rsidRDefault="00EF66CC" w:rsidP="005418A4">
      <w:pPr>
        <w:spacing w:line="276" w:lineRule="auto"/>
        <w:rPr>
          <w:rFonts w:asciiTheme="minorHAnsi" w:hAnsiTheme="minorHAnsi" w:cstheme="minorHAnsi"/>
          <w:b/>
        </w:rPr>
      </w:pPr>
      <w:r w:rsidRPr="005418A4">
        <w:rPr>
          <w:rFonts w:asciiTheme="minorHAnsi" w:hAnsiTheme="minorHAnsi" w:cstheme="minorHAnsi"/>
          <w:b/>
        </w:rPr>
        <w:t xml:space="preserve">b) 11 godzin </w:t>
      </w:r>
    </w:p>
    <w:p w:rsidR="00EF66CC" w:rsidRPr="005418A4" w:rsidRDefault="00EF66CC" w:rsidP="005418A4">
      <w:pPr>
        <w:spacing w:line="276" w:lineRule="auto"/>
        <w:rPr>
          <w:rFonts w:asciiTheme="minorHAnsi" w:hAnsiTheme="minorHAnsi" w:cstheme="minorHAnsi"/>
        </w:rPr>
      </w:pPr>
      <w:r w:rsidRPr="005418A4">
        <w:rPr>
          <w:rFonts w:asciiTheme="minorHAnsi" w:hAnsiTheme="minorHAnsi" w:cstheme="minorHAnsi"/>
        </w:rPr>
        <w:t>c) 12 godzin.</w:t>
      </w:r>
    </w:p>
    <w:p w:rsidR="00EF66CC" w:rsidRPr="005418A4" w:rsidRDefault="00EF66CC" w:rsidP="005418A4">
      <w:pPr>
        <w:spacing w:line="276" w:lineRule="auto"/>
        <w:rPr>
          <w:rFonts w:asciiTheme="minorHAnsi" w:hAnsiTheme="minorHAnsi" w:cstheme="minorHAnsi"/>
        </w:rPr>
      </w:pPr>
    </w:p>
    <w:p w:rsidR="00915DDB" w:rsidRPr="00265DDD" w:rsidRDefault="00915DDB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Pracodawca jest obowiązany udzielić na żądanie pracownika i w terminie przez niego wskazanym w każdym roku kalendarzowym nie więcej niż:</w:t>
      </w:r>
    </w:p>
    <w:p w:rsidR="00915DDB" w:rsidRPr="005418A4" w:rsidRDefault="00915DDB" w:rsidP="005418A4">
      <w:pPr>
        <w:pStyle w:val="Akapitzlist"/>
        <w:numPr>
          <w:ilvl w:val="0"/>
          <w:numId w:val="18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4 dni urlopu</w:t>
      </w:r>
    </w:p>
    <w:p w:rsidR="00915DDB" w:rsidRPr="005418A4" w:rsidRDefault="00915DDB" w:rsidP="005418A4">
      <w:pPr>
        <w:pStyle w:val="Akapitzlist"/>
        <w:numPr>
          <w:ilvl w:val="0"/>
          <w:numId w:val="18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3 dni urlopu</w:t>
      </w:r>
    </w:p>
    <w:p w:rsidR="00915DDB" w:rsidRPr="005418A4" w:rsidRDefault="00915DDB" w:rsidP="005418A4">
      <w:pPr>
        <w:pStyle w:val="Akapitzlist"/>
        <w:numPr>
          <w:ilvl w:val="0"/>
          <w:numId w:val="18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2 dni urlopu.</w:t>
      </w:r>
    </w:p>
    <w:p w:rsidR="00915DDB" w:rsidRPr="005418A4" w:rsidRDefault="00915DDB" w:rsidP="005418A4">
      <w:pPr>
        <w:spacing w:line="276" w:lineRule="auto"/>
        <w:rPr>
          <w:rFonts w:asciiTheme="minorHAnsi" w:hAnsiTheme="minorHAnsi" w:cstheme="minorHAnsi"/>
        </w:rPr>
      </w:pPr>
    </w:p>
    <w:p w:rsidR="00915DDB" w:rsidRPr="00265DDD" w:rsidRDefault="00915DDB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Roszczenia ze stosunku pracy ulegają przedawnieniu z upływem:</w:t>
      </w:r>
    </w:p>
    <w:p w:rsidR="00915DDB" w:rsidRPr="005418A4" w:rsidRDefault="00915DDB" w:rsidP="005418A4">
      <w:pPr>
        <w:pStyle w:val="Akapitzlist"/>
        <w:numPr>
          <w:ilvl w:val="0"/>
          <w:numId w:val="20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1 roku,</w:t>
      </w:r>
    </w:p>
    <w:p w:rsidR="00915DDB" w:rsidRPr="005418A4" w:rsidRDefault="00915DDB" w:rsidP="005418A4">
      <w:pPr>
        <w:pStyle w:val="Akapitzlist"/>
        <w:numPr>
          <w:ilvl w:val="0"/>
          <w:numId w:val="20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 xml:space="preserve">18 miesięcy </w:t>
      </w:r>
    </w:p>
    <w:p w:rsidR="00915DDB" w:rsidRPr="005418A4" w:rsidRDefault="00915DDB" w:rsidP="005418A4">
      <w:pPr>
        <w:pStyle w:val="Akapitzlist"/>
        <w:numPr>
          <w:ilvl w:val="0"/>
          <w:numId w:val="20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 xml:space="preserve">3 lat </w:t>
      </w:r>
    </w:p>
    <w:p w:rsidR="00915DDB" w:rsidRPr="005418A4" w:rsidRDefault="00915DDB" w:rsidP="005418A4">
      <w:pPr>
        <w:spacing w:line="276" w:lineRule="auto"/>
        <w:rPr>
          <w:rFonts w:asciiTheme="minorHAnsi" w:hAnsiTheme="minorHAnsi" w:cstheme="minorHAnsi"/>
        </w:rPr>
      </w:pPr>
      <w:r w:rsidRPr="005418A4">
        <w:rPr>
          <w:rFonts w:asciiTheme="minorHAnsi" w:hAnsiTheme="minorHAnsi" w:cstheme="minorHAnsi"/>
        </w:rPr>
        <w:t>od dnia, w którym roszczenie stało się wymagalne.</w:t>
      </w:r>
    </w:p>
    <w:p w:rsidR="00915DDB" w:rsidRPr="005418A4" w:rsidRDefault="00915DDB" w:rsidP="005418A4">
      <w:pPr>
        <w:spacing w:line="276" w:lineRule="auto"/>
        <w:rPr>
          <w:rFonts w:asciiTheme="minorHAnsi" w:hAnsiTheme="minorHAnsi" w:cstheme="minorHAnsi"/>
        </w:rPr>
      </w:pPr>
    </w:p>
    <w:p w:rsidR="00921F7A" w:rsidRPr="00265DDD" w:rsidRDefault="00921F7A" w:rsidP="005418A4">
      <w:pPr>
        <w:pStyle w:val="Akapitzlist"/>
        <w:numPr>
          <w:ilvl w:val="0"/>
          <w:numId w:val="25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Zgodnie z Kodeksem karnym, sąd orzeka przepadek pojazdu służącego do popełnienia przestępstwa prowadzenia pojazdu w stanie nietrzeźwości:</w:t>
      </w:r>
    </w:p>
    <w:p w:rsidR="00996678" w:rsidRPr="005418A4" w:rsidRDefault="00921F7A" w:rsidP="005418A4">
      <w:pPr>
        <w:pStyle w:val="Akapitzlist"/>
        <w:numPr>
          <w:ilvl w:val="0"/>
          <w:numId w:val="26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gdy zawartość alkoholu we krwi przekracza 0,5 promila lub zawartość alkoholu w wydychanym powietrzu przekracza 0,25 mg w 1 dm3,</w:t>
      </w:r>
    </w:p>
    <w:p w:rsidR="00996678" w:rsidRPr="005418A4" w:rsidRDefault="00921F7A" w:rsidP="005418A4">
      <w:pPr>
        <w:pStyle w:val="Akapitzlist"/>
        <w:numPr>
          <w:ilvl w:val="0"/>
          <w:numId w:val="26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gdy zawartość alkoholu we krwi przekracza 0,8 promila lub zawartość alkoholu w wydychanym powietrzu przekracza 0,4 mg w 1 dm3,</w:t>
      </w:r>
    </w:p>
    <w:p w:rsidR="00921F7A" w:rsidRPr="005418A4" w:rsidRDefault="00921F7A" w:rsidP="005418A4">
      <w:pPr>
        <w:pStyle w:val="Akapitzlist"/>
        <w:numPr>
          <w:ilvl w:val="0"/>
          <w:numId w:val="26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gdy zawartość alkoholu we krwi przekracza 1,5 promila lub zawartość alkoholu w wydychanym powietrzu przekracza 0,75 mg w 1 dm3.</w:t>
      </w:r>
    </w:p>
    <w:p w:rsidR="005418A4" w:rsidRPr="005418A4" w:rsidRDefault="005418A4" w:rsidP="005418A4">
      <w:pPr>
        <w:pStyle w:val="Akapitzlist"/>
        <w:spacing w:after="200" w:line="276" w:lineRule="auto"/>
        <w:ind w:left="0"/>
        <w:rPr>
          <w:rFonts w:asciiTheme="minorHAnsi" w:hAnsiTheme="minorHAnsi" w:cstheme="minorHAnsi"/>
          <w:szCs w:val="24"/>
        </w:rPr>
      </w:pPr>
    </w:p>
    <w:p w:rsidR="00921F7A" w:rsidRPr="00265DDD" w:rsidRDefault="00921F7A" w:rsidP="005418A4">
      <w:pPr>
        <w:pStyle w:val="Akapitzlist"/>
        <w:numPr>
          <w:ilvl w:val="0"/>
          <w:numId w:val="25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Zgodnie z Kodeksem karnym, usiłowanie nieudolne zachodzi wtedy, gdy sprawca:</w:t>
      </w:r>
    </w:p>
    <w:p w:rsidR="00921F7A" w:rsidRPr="005418A4" w:rsidRDefault="00921F7A" w:rsidP="005418A4">
      <w:pPr>
        <w:pStyle w:val="Akapitzlist"/>
        <w:numPr>
          <w:ilvl w:val="1"/>
          <w:numId w:val="22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swoim zachowaniem bezpośrednio zmierza do dokonania czynu zabronionego, które jednak nie następuje,</w:t>
      </w:r>
    </w:p>
    <w:p w:rsidR="00921F7A" w:rsidRPr="005418A4" w:rsidRDefault="00921F7A" w:rsidP="005418A4">
      <w:pPr>
        <w:pStyle w:val="Akapitzlist"/>
        <w:numPr>
          <w:ilvl w:val="1"/>
          <w:numId w:val="22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nie uświadamia sobie, że dokonanie jest niemożliwe ze względu na brak przedmiotu nadającego się do popełnienia na nim czynu zabronionego,</w:t>
      </w:r>
    </w:p>
    <w:p w:rsidR="00921F7A" w:rsidRPr="005418A4" w:rsidRDefault="00921F7A" w:rsidP="005418A4">
      <w:pPr>
        <w:pStyle w:val="Akapitzlist"/>
        <w:numPr>
          <w:ilvl w:val="1"/>
          <w:numId w:val="22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popełnia przestępstwo w sposób wyraźnie niezdarny</w:t>
      </w:r>
      <w:r w:rsidR="005418A4" w:rsidRPr="005418A4">
        <w:rPr>
          <w:rFonts w:asciiTheme="minorHAnsi" w:hAnsiTheme="minorHAnsi" w:cstheme="minorHAnsi"/>
          <w:szCs w:val="24"/>
        </w:rPr>
        <w:t>.</w:t>
      </w:r>
    </w:p>
    <w:p w:rsidR="005418A4" w:rsidRPr="005418A4" w:rsidRDefault="005418A4" w:rsidP="005418A4">
      <w:pPr>
        <w:pStyle w:val="Akapitzlist"/>
        <w:spacing w:after="200" w:line="276" w:lineRule="auto"/>
        <w:ind w:left="0"/>
        <w:rPr>
          <w:rFonts w:asciiTheme="minorHAnsi" w:hAnsiTheme="minorHAnsi" w:cstheme="minorHAnsi"/>
          <w:szCs w:val="24"/>
        </w:rPr>
      </w:pPr>
    </w:p>
    <w:p w:rsidR="00921F7A" w:rsidRPr="00265DDD" w:rsidRDefault="00921F7A" w:rsidP="005418A4">
      <w:pPr>
        <w:pStyle w:val="Akapitzlist"/>
        <w:numPr>
          <w:ilvl w:val="0"/>
          <w:numId w:val="25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Według Kodeksu karnego, w razie zaboru rzeczy ruchomej znajdującej się bezpośrednio na osobie lub w noszonym przez nią ubraniu, czyn ten stanowi:</w:t>
      </w:r>
    </w:p>
    <w:p w:rsidR="00921F7A" w:rsidRPr="005418A4" w:rsidRDefault="00921F7A" w:rsidP="005418A4">
      <w:pPr>
        <w:pStyle w:val="Akapitzlist"/>
        <w:numPr>
          <w:ilvl w:val="0"/>
          <w:numId w:val="27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kradzież szczególnie zuchwałą,</w:t>
      </w:r>
    </w:p>
    <w:p w:rsidR="00921F7A" w:rsidRPr="005418A4" w:rsidRDefault="00921F7A" w:rsidP="005418A4">
      <w:pPr>
        <w:pStyle w:val="Akapitzlist"/>
        <w:numPr>
          <w:ilvl w:val="0"/>
          <w:numId w:val="27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kradzież rozbójniczą,</w:t>
      </w:r>
    </w:p>
    <w:p w:rsidR="00921F7A" w:rsidRPr="005418A4" w:rsidRDefault="00921F7A" w:rsidP="005418A4">
      <w:pPr>
        <w:pStyle w:val="Akapitzlist"/>
        <w:numPr>
          <w:ilvl w:val="0"/>
          <w:numId w:val="27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rozbój.</w:t>
      </w:r>
    </w:p>
    <w:p w:rsidR="005418A4" w:rsidRPr="005418A4" w:rsidRDefault="005418A4" w:rsidP="005418A4">
      <w:pPr>
        <w:pStyle w:val="Akapitzlist"/>
        <w:spacing w:after="200" w:line="276" w:lineRule="auto"/>
        <w:ind w:left="0"/>
        <w:rPr>
          <w:rFonts w:asciiTheme="minorHAnsi" w:hAnsiTheme="minorHAnsi" w:cstheme="minorHAnsi"/>
          <w:szCs w:val="24"/>
        </w:rPr>
      </w:pPr>
    </w:p>
    <w:p w:rsidR="00921F7A" w:rsidRPr="00265DDD" w:rsidRDefault="00921F7A" w:rsidP="005418A4">
      <w:pPr>
        <w:pStyle w:val="Akapitzlist"/>
        <w:numPr>
          <w:ilvl w:val="0"/>
          <w:numId w:val="25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Zgodnie z Kodeksem karnym, w przypadku stwierdzenia usprawiedliwionego błędu co do znamienia ustawowego:</w:t>
      </w:r>
    </w:p>
    <w:p w:rsidR="00921F7A" w:rsidRPr="005418A4" w:rsidRDefault="00921F7A" w:rsidP="005418A4">
      <w:pPr>
        <w:pStyle w:val="Akapitzlist"/>
        <w:numPr>
          <w:ilvl w:val="0"/>
          <w:numId w:val="28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sprawca nie popełnia przestępstwa,</w:t>
      </w:r>
    </w:p>
    <w:p w:rsidR="00921F7A" w:rsidRPr="005418A4" w:rsidRDefault="00921F7A" w:rsidP="005418A4">
      <w:pPr>
        <w:pStyle w:val="Akapitzlist"/>
        <w:numPr>
          <w:ilvl w:val="0"/>
          <w:numId w:val="28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sprawca nie podlega karze,</w:t>
      </w:r>
    </w:p>
    <w:p w:rsidR="00921F7A" w:rsidRPr="005418A4" w:rsidRDefault="00921F7A" w:rsidP="005418A4">
      <w:pPr>
        <w:pStyle w:val="Akapitzlist"/>
        <w:numPr>
          <w:ilvl w:val="0"/>
          <w:numId w:val="28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sąd obligatoryjnie stosuje nadzwyczajne złagodzenie kary.</w:t>
      </w:r>
    </w:p>
    <w:p w:rsidR="005418A4" w:rsidRPr="005418A4" w:rsidRDefault="005418A4" w:rsidP="005418A4">
      <w:pPr>
        <w:pStyle w:val="Akapitzlist"/>
        <w:spacing w:after="200" w:line="276" w:lineRule="auto"/>
        <w:ind w:left="0"/>
        <w:rPr>
          <w:rFonts w:asciiTheme="minorHAnsi" w:hAnsiTheme="minorHAnsi" w:cstheme="minorHAnsi"/>
          <w:szCs w:val="24"/>
        </w:rPr>
      </w:pPr>
    </w:p>
    <w:p w:rsidR="00921F7A" w:rsidRPr="00265DDD" w:rsidRDefault="00921F7A" w:rsidP="005418A4">
      <w:pPr>
        <w:pStyle w:val="Akapitzlist"/>
        <w:numPr>
          <w:ilvl w:val="0"/>
          <w:numId w:val="25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Zgodnie z Kodeksem postępowania karnego, w pierwszej instancji w sprawach o zbrodnie właściwy jest:</w:t>
      </w:r>
    </w:p>
    <w:p w:rsidR="00921F7A" w:rsidRPr="005418A4" w:rsidRDefault="00921F7A" w:rsidP="005418A4">
      <w:pPr>
        <w:pStyle w:val="Akapitzlist"/>
        <w:numPr>
          <w:ilvl w:val="0"/>
          <w:numId w:val="29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sąd okręgowy jest właściwy tylko w sprawach o zbrodnie określone w Kodeksie karnym,</w:t>
      </w:r>
    </w:p>
    <w:p w:rsidR="00921F7A" w:rsidRPr="005418A4" w:rsidRDefault="00921F7A" w:rsidP="005418A4">
      <w:pPr>
        <w:pStyle w:val="Akapitzlist"/>
        <w:numPr>
          <w:ilvl w:val="0"/>
          <w:numId w:val="29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 xml:space="preserve">sąd okręgowy jest właściwy, ale tylko w przypadku zbrodni zagrożonych karą 25 lat pozbawienia wolności albo dożywotniego pozbawienia wolności, </w:t>
      </w:r>
    </w:p>
    <w:p w:rsidR="00921F7A" w:rsidRPr="005418A4" w:rsidRDefault="00921F7A" w:rsidP="005418A4">
      <w:pPr>
        <w:pStyle w:val="Akapitzlist"/>
        <w:numPr>
          <w:ilvl w:val="0"/>
          <w:numId w:val="29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zawsze sąd okręgowy.</w:t>
      </w:r>
    </w:p>
    <w:p w:rsidR="005418A4" w:rsidRPr="005418A4" w:rsidRDefault="005418A4" w:rsidP="005418A4">
      <w:pPr>
        <w:pStyle w:val="Akapitzlist"/>
        <w:spacing w:after="200" w:line="276" w:lineRule="auto"/>
        <w:ind w:left="0"/>
        <w:rPr>
          <w:rFonts w:asciiTheme="minorHAnsi" w:hAnsiTheme="minorHAnsi" w:cstheme="minorHAnsi"/>
          <w:b/>
          <w:szCs w:val="24"/>
        </w:rPr>
      </w:pPr>
    </w:p>
    <w:p w:rsidR="00921F7A" w:rsidRPr="00265DDD" w:rsidRDefault="00921F7A" w:rsidP="005418A4">
      <w:pPr>
        <w:pStyle w:val="Akapitzlist"/>
        <w:numPr>
          <w:ilvl w:val="0"/>
          <w:numId w:val="25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Zgodnie z Kodeksem postępowania karnego, w przypadku, gdy sąd okręgowy rozpozna sprawę należącą do właściwości rzeczowej sądu rejonowego, uchybienie to stanowi:</w:t>
      </w:r>
    </w:p>
    <w:p w:rsidR="00921F7A" w:rsidRPr="005418A4" w:rsidRDefault="00921F7A" w:rsidP="005418A4">
      <w:pPr>
        <w:pStyle w:val="Akapitzlist"/>
        <w:numPr>
          <w:ilvl w:val="0"/>
          <w:numId w:val="30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bezwzględną przyczynę odwoławczą,</w:t>
      </w:r>
    </w:p>
    <w:p w:rsidR="00921F7A" w:rsidRPr="005418A4" w:rsidRDefault="00921F7A" w:rsidP="005418A4">
      <w:pPr>
        <w:pStyle w:val="Akapitzlist"/>
        <w:numPr>
          <w:ilvl w:val="0"/>
          <w:numId w:val="30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względną przyczynę odwoławczą,</w:t>
      </w:r>
    </w:p>
    <w:p w:rsidR="00921F7A" w:rsidRPr="005418A4" w:rsidRDefault="00921F7A" w:rsidP="005418A4">
      <w:pPr>
        <w:pStyle w:val="Akapitzlist"/>
        <w:numPr>
          <w:ilvl w:val="0"/>
          <w:numId w:val="30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sąd okręgowy zawsze może rozpoznać sprawę należącą do właściwości sądu niższej instancji.</w:t>
      </w:r>
    </w:p>
    <w:p w:rsidR="005418A4" w:rsidRPr="005418A4" w:rsidRDefault="005418A4" w:rsidP="005418A4">
      <w:pPr>
        <w:pStyle w:val="Akapitzlist"/>
        <w:spacing w:after="200" w:line="276" w:lineRule="auto"/>
        <w:ind w:left="0"/>
        <w:rPr>
          <w:rFonts w:asciiTheme="minorHAnsi" w:hAnsiTheme="minorHAnsi" w:cstheme="minorHAnsi"/>
          <w:szCs w:val="24"/>
        </w:rPr>
      </w:pPr>
    </w:p>
    <w:p w:rsidR="00921F7A" w:rsidRPr="00265DDD" w:rsidRDefault="00921F7A" w:rsidP="005418A4">
      <w:pPr>
        <w:pStyle w:val="Akapitzlist"/>
        <w:numPr>
          <w:ilvl w:val="0"/>
          <w:numId w:val="25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Zgodnie z Kodeksem postępowania karnego, w razie odroczenia wydania wyroku sąd:</w:t>
      </w:r>
    </w:p>
    <w:p w:rsidR="00921F7A" w:rsidRPr="005418A4" w:rsidRDefault="00921F7A" w:rsidP="005418A4">
      <w:pPr>
        <w:pStyle w:val="Akapitzlist"/>
        <w:numPr>
          <w:ilvl w:val="0"/>
          <w:numId w:val="31"/>
        </w:numPr>
        <w:spacing w:after="200" w:line="276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ogłasza wyrok w składzie sędziego sprawozdawcy,</w:t>
      </w:r>
    </w:p>
    <w:p w:rsidR="00921F7A" w:rsidRPr="005418A4" w:rsidRDefault="00921F7A" w:rsidP="005418A4">
      <w:pPr>
        <w:pStyle w:val="Akapitzlist"/>
        <w:numPr>
          <w:ilvl w:val="0"/>
          <w:numId w:val="31"/>
        </w:numPr>
        <w:spacing w:after="200" w:line="276" w:lineRule="auto"/>
        <w:ind w:left="0" w:firstLine="0"/>
        <w:jc w:val="left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w pełnym składzie,</w:t>
      </w:r>
    </w:p>
    <w:p w:rsidR="00921F7A" w:rsidRPr="005418A4" w:rsidRDefault="00921F7A" w:rsidP="005418A4">
      <w:pPr>
        <w:pStyle w:val="Akapitzlist"/>
        <w:numPr>
          <w:ilvl w:val="0"/>
          <w:numId w:val="31"/>
        </w:numPr>
        <w:spacing w:after="200" w:line="276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w składzie tylko sędziego sprawozdawcy, a w pełnym składzie – w razie zgłoszenia zdania odrębnego.</w:t>
      </w:r>
    </w:p>
    <w:p w:rsidR="005418A4" w:rsidRPr="005418A4" w:rsidRDefault="005418A4" w:rsidP="005418A4">
      <w:pPr>
        <w:pStyle w:val="Akapitzlist"/>
        <w:spacing w:after="200" w:line="276" w:lineRule="auto"/>
        <w:ind w:left="0"/>
        <w:jc w:val="left"/>
        <w:rPr>
          <w:rFonts w:asciiTheme="minorHAnsi" w:hAnsiTheme="minorHAnsi" w:cstheme="minorHAnsi"/>
          <w:szCs w:val="24"/>
        </w:rPr>
      </w:pPr>
    </w:p>
    <w:p w:rsidR="00921F7A" w:rsidRPr="00265DDD" w:rsidRDefault="00921F7A" w:rsidP="005418A4">
      <w:pPr>
        <w:pStyle w:val="Akapitzlist"/>
        <w:numPr>
          <w:ilvl w:val="0"/>
          <w:numId w:val="25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lastRenderedPageBreak/>
        <w:t>Zgodnie z Kodeksem postępowania karnego, apelację od wyroku orzekającego karę 25 lat pozbawienia wolności, w której prokurator domaga się podwyższenia kary do dożywotniego pozbawienia wolności sąd rozpoznaje w składzie:</w:t>
      </w:r>
    </w:p>
    <w:p w:rsidR="00921F7A" w:rsidRPr="005418A4" w:rsidRDefault="00921F7A" w:rsidP="005418A4">
      <w:pPr>
        <w:pStyle w:val="Akapitzlist"/>
        <w:numPr>
          <w:ilvl w:val="0"/>
          <w:numId w:val="32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trzech sędziów,</w:t>
      </w:r>
    </w:p>
    <w:p w:rsidR="00921F7A" w:rsidRPr="005418A4" w:rsidRDefault="00921F7A" w:rsidP="005418A4">
      <w:pPr>
        <w:pStyle w:val="Akapitzlist"/>
        <w:numPr>
          <w:ilvl w:val="0"/>
          <w:numId w:val="32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pięciu sędziów,</w:t>
      </w:r>
    </w:p>
    <w:p w:rsidR="00921F7A" w:rsidRPr="005418A4" w:rsidRDefault="00921F7A" w:rsidP="005418A4">
      <w:pPr>
        <w:pStyle w:val="Akapitzlist"/>
        <w:numPr>
          <w:ilvl w:val="0"/>
          <w:numId w:val="32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siedmiu sędziów.</w:t>
      </w:r>
    </w:p>
    <w:p w:rsidR="005418A4" w:rsidRPr="005418A4" w:rsidRDefault="005418A4" w:rsidP="005418A4">
      <w:pPr>
        <w:pStyle w:val="Akapitzlist"/>
        <w:spacing w:after="200" w:line="276" w:lineRule="auto"/>
        <w:ind w:left="0"/>
        <w:rPr>
          <w:rFonts w:asciiTheme="minorHAnsi" w:hAnsiTheme="minorHAnsi" w:cstheme="minorHAnsi"/>
          <w:szCs w:val="24"/>
        </w:rPr>
      </w:pPr>
    </w:p>
    <w:p w:rsidR="00921F7A" w:rsidRPr="00265DDD" w:rsidRDefault="00921F7A" w:rsidP="005418A4">
      <w:pPr>
        <w:pStyle w:val="Akapitzlist"/>
        <w:numPr>
          <w:ilvl w:val="0"/>
          <w:numId w:val="25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Zgodnie z Kodeksem postępowania karnego, terminy do wnoszenia środków zaskarżenia są:</w:t>
      </w:r>
    </w:p>
    <w:p w:rsidR="00921F7A" w:rsidRPr="005418A4" w:rsidRDefault="00921F7A" w:rsidP="005418A4">
      <w:pPr>
        <w:pStyle w:val="Akapitzlist"/>
        <w:numPr>
          <w:ilvl w:val="0"/>
          <w:numId w:val="33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instrukcyjne,</w:t>
      </w:r>
    </w:p>
    <w:p w:rsidR="00921F7A" w:rsidRPr="005418A4" w:rsidRDefault="00921F7A" w:rsidP="005418A4">
      <w:pPr>
        <w:pStyle w:val="Akapitzlist"/>
        <w:numPr>
          <w:ilvl w:val="0"/>
          <w:numId w:val="33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prekluzyjne,</w:t>
      </w:r>
    </w:p>
    <w:p w:rsidR="00921F7A" w:rsidRPr="005418A4" w:rsidRDefault="00921F7A" w:rsidP="005418A4">
      <w:pPr>
        <w:pStyle w:val="Akapitzlist"/>
        <w:numPr>
          <w:ilvl w:val="0"/>
          <w:numId w:val="33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zawite.</w:t>
      </w:r>
    </w:p>
    <w:p w:rsidR="005418A4" w:rsidRPr="005418A4" w:rsidRDefault="005418A4" w:rsidP="005418A4">
      <w:pPr>
        <w:pStyle w:val="Akapitzlist"/>
        <w:spacing w:after="200" w:line="276" w:lineRule="auto"/>
        <w:ind w:left="0"/>
        <w:rPr>
          <w:rFonts w:asciiTheme="minorHAnsi" w:hAnsiTheme="minorHAnsi" w:cstheme="minorHAnsi"/>
          <w:b/>
          <w:szCs w:val="24"/>
        </w:rPr>
      </w:pPr>
    </w:p>
    <w:p w:rsidR="00921F7A" w:rsidRPr="00265DDD" w:rsidRDefault="00921F7A" w:rsidP="005418A4">
      <w:pPr>
        <w:pStyle w:val="Akapitzlist"/>
        <w:numPr>
          <w:ilvl w:val="0"/>
          <w:numId w:val="25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Zgodnie z Kodeksem karnym wykonawczym, wykonywanie kary pozbawienia wolności z zastosowaniem systemu dozoru elektronicznego jest możliwe:</w:t>
      </w:r>
    </w:p>
    <w:p w:rsidR="00921F7A" w:rsidRPr="005418A4" w:rsidRDefault="00921F7A" w:rsidP="005418A4">
      <w:pPr>
        <w:pStyle w:val="Akapitzlist"/>
        <w:numPr>
          <w:ilvl w:val="0"/>
          <w:numId w:val="34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gdy kara pozbawienia wolności nie przekracza 12 miesięcy,</w:t>
      </w:r>
    </w:p>
    <w:p w:rsidR="00921F7A" w:rsidRPr="005418A4" w:rsidRDefault="00921F7A" w:rsidP="005418A4">
      <w:pPr>
        <w:pStyle w:val="Akapitzlist"/>
        <w:numPr>
          <w:ilvl w:val="0"/>
          <w:numId w:val="34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gdy kara pozbawienia wolności nie przekracza 18 miesięcy,</w:t>
      </w:r>
    </w:p>
    <w:p w:rsidR="00921F7A" w:rsidRPr="005418A4" w:rsidRDefault="00921F7A" w:rsidP="005418A4">
      <w:pPr>
        <w:pStyle w:val="Akapitzlist"/>
        <w:numPr>
          <w:ilvl w:val="0"/>
          <w:numId w:val="34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gdy kara pozbawienia wolności nie przekracza 24 miesięcy.</w:t>
      </w:r>
    </w:p>
    <w:p w:rsidR="005418A4" w:rsidRPr="005418A4" w:rsidRDefault="005418A4" w:rsidP="005418A4">
      <w:pPr>
        <w:pStyle w:val="Akapitzlist"/>
        <w:spacing w:after="200" w:line="276" w:lineRule="auto"/>
        <w:ind w:left="0"/>
        <w:rPr>
          <w:rFonts w:asciiTheme="minorHAnsi" w:hAnsiTheme="minorHAnsi" w:cstheme="minorHAnsi"/>
          <w:szCs w:val="24"/>
        </w:rPr>
      </w:pPr>
    </w:p>
    <w:p w:rsidR="00921F7A" w:rsidRPr="00265DDD" w:rsidRDefault="00921F7A" w:rsidP="005418A4">
      <w:pPr>
        <w:pStyle w:val="Akapitzlist"/>
        <w:numPr>
          <w:ilvl w:val="0"/>
          <w:numId w:val="25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Zgodnie z Kodeksem karnym i Kodeksem karnym wykonawczym, warunkowe przedterminowe zwolnienie sprawcy, który działał w warunkach zorganizowanej grupy przestępczej może nastąpić:</w:t>
      </w:r>
    </w:p>
    <w:p w:rsidR="00921F7A" w:rsidRPr="005418A4" w:rsidRDefault="00921F7A" w:rsidP="005418A4">
      <w:pPr>
        <w:pStyle w:val="Akapitzlist"/>
        <w:numPr>
          <w:ilvl w:val="0"/>
          <w:numId w:val="35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po odbyciu 2/3 kary,</w:t>
      </w:r>
    </w:p>
    <w:p w:rsidR="00921F7A" w:rsidRPr="005418A4" w:rsidRDefault="00921F7A" w:rsidP="005418A4">
      <w:pPr>
        <w:pStyle w:val="Akapitzlist"/>
        <w:numPr>
          <w:ilvl w:val="0"/>
          <w:numId w:val="35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po odbyciu 3/4 kary,</w:t>
      </w:r>
    </w:p>
    <w:p w:rsidR="00921F7A" w:rsidRPr="005418A4" w:rsidRDefault="00921F7A" w:rsidP="005418A4">
      <w:pPr>
        <w:pStyle w:val="Akapitzlist"/>
        <w:numPr>
          <w:ilvl w:val="0"/>
          <w:numId w:val="35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warunkowe zwolnienie nie przysługuje.</w:t>
      </w:r>
    </w:p>
    <w:p w:rsidR="005418A4" w:rsidRPr="005418A4" w:rsidRDefault="005418A4" w:rsidP="005418A4">
      <w:pPr>
        <w:pStyle w:val="Akapitzlist"/>
        <w:spacing w:after="200" w:line="276" w:lineRule="auto"/>
        <w:ind w:left="0"/>
        <w:rPr>
          <w:rFonts w:asciiTheme="minorHAnsi" w:hAnsiTheme="minorHAnsi" w:cstheme="minorHAnsi"/>
          <w:szCs w:val="24"/>
        </w:rPr>
      </w:pPr>
    </w:p>
    <w:p w:rsidR="00921F7A" w:rsidRPr="00265DDD" w:rsidRDefault="00921F7A" w:rsidP="005418A4">
      <w:pPr>
        <w:pStyle w:val="Akapitzlist"/>
        <w:numPr>
          <w:ilvl w:val="0"/>
          <w:numId w:val="25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Zgodnie z Kodeksem karnym wykonawczym, w posiedzeniu w przedmiocie wstrzymania wykonania orzeczenia, jeżeli skutkiem wstrzymania byłoby zwolnienie skazanego z aresztu śledczego lub zakładu karnego:</w:t>
      </w:r>
    </w:p>
    <w:p w:rsidR="00921F7A" w:rsidRPr="005418A4" w:rsidRDefault="00921F7A" w:rsidP="005418A4">
      <w:pPr>
        <w:pStyle w:val="Akapitzlist"/>
        <w:numPr>
          <w:ilvl w:val="0"/>
          <w:numId w:val="36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prokurator nie ma prawa udziału w posiedzeniu,</w:t>
      </w:r>
    </w:p>
    <w:p w:rsidR="00921F7A" w:rsidRPr="005418A4" w:rsidRDefault="00921F7A" w:rsidP="005418A4">
      <w:pPr>
        <w:pStyle w:val="Akapitzlist"/>
        <w:numPr>
          <w:ilvl w:val="0"/>
          <w:numId w:val="36"/>
        </w:numPr>
        <w:spacing w:after="200"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prokurator ma prawo wziąć udział w posiedzeniu,</w:t>
      </w:r>
    </w:p>
    <w:p w:rsidR="00921F7A" w:rsidRPr="005418A4" w:rsidRDefault="00921F7A" w:rsidP="005418A4">
      <w:pPr>
        <w:pStyle w:val="Akapitzlist"/>
        <w:numPr>
          <w:ilvl w:val="0"/>
          <w:numId w:val="36"/>
        </w:numPr>
        <w:spacing w:after="20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udział prokuratora w posiedzeniu jest obligatoryjny.</w:t>
      </w:r>
    </w:p>
    <w:p w:rsidR="00F856C6" w:rsidRPr="00265DDD" w:rsidRDefault="00F856C6" w:rsidP="005418A4">
      <w:pPr>
        <w:pStyle w:val="Style3"/>
        <w:widowControl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</w:rPr>
      </w:pPr>
      <w:r w:rsidRPr="00265DDD">
        <w:rPr>
          <w:rStyle w:val="FontStyle12"/>
          <w:rFonts w:asciiTheme="minorHAnsi" w:hAnsiTheme="minorHAnsi" w:cstheme="minorHAnsi"/>
          <w:b/>
          <w:sz w:val="24"/>
          <w:szCs w:val="24"/>
        </w:rPr>
        <w:t>Zgodnie z Kodeksem postępowania cywilnego, w razie zgłoszenia wniosku o ustanowienie adwokata lub radcy prawnego</w:t>
      </w:r>
      <w:r w:rsidRPr="00265DDD">
        <w:rPr>
          <w:rFonts w:asciiTheme="minorHAnsi" w:hAnsiTheme="minorHAnsi" w:cstheme="minorHAnsi"/>
          <w:b/>
        </w:rPr>
        <w:t xml:space="preserve"> przed rozpoczęciem rozprawy w postępowaniu apelacyjnym, sąd: </w:t>
      </w:r>
    </w:p>
    <w:p w:rsidR="00F856C6" w:rsidRPr="005418A4" w:rsidRDefault="00F856C6" w:rsidP="005418A4">
      <w:pPr>
        <w:pStyle w:val="Style3"/>
        <w:widowControl/>
        <w:numPr>
          <w:ilvl w:val="1"/>
          <w:numId w:val="37"/>
        </w:numPr>
        <w:spacing w:line="276" w:lineRule="auto"/>
        <w:ind w:left="0" w:firstLine="0"/>
        <w:rPr>
          <w:rFonts w:asciiTheme="minorHAnsi" w:hAnsiTheme="minorHAnsi" w:cstheme="minorHAnsi"/>
          <w:b/>
        </w:rPr>
      </w:pPr>
      <w:r w:rsidRPr="005418A4">
        <w:rPr>
          <w:rFonts w:asciiTheme="minorHAnsi" w:hAnsiTheme="minorHAnsi" w:cstheme="minorHAnsi"/>
          <w:b/>
        </w:rPr>
        <w:t>może przystąpić do rozpoznania sprawy na rozprawie;</w:t>
      </w:r>
    </w:p>
    <w:p w:rsidR="00F856C6" w:rsidRPr="005418A4" w:rsidRDefault="00F856C6" w:rsidP="005418A4">
      <w:pPr>
        <w:pStyle w:val="Style3"/>
        <w:widowControl/>
        <w:numPr>
          <w:ilvl w:val="1"/>
          <w:numId w:val="37"/>
        </w:numPr>
        <w:spacing w:line="276" w:lineRule="auto"/>
        <w:ind w:left="0" w:firstLine="0"/>
        <w:rPr>
          <w:rFonts w:asciiTheme="minorHAnsi" w:hAnsiTheme="minorHAnsi" w:cstheme="minorHAnsi"/>
        </w:rPr>
      </w:pPr>
      <w:r w:rsidRPr="005418A4">
        <w:rPr>
          <w:rFonts w:asciiTheme="minorHAnsi" w:hAnsiTheme="minorHAnsi" w:cstheme="minorHAnsi"/>
        </w:rPr>
        <w:t>jest zobowiązany do wstrzymania rozpoznania sprawy aż do prawomocnego rozstrzygnięcia wniosku i w związku z tym wyznaczoną rozprawę powinien odwołać lub odroczyć;</w:t>
      </w:r>
    </w:p>
    <w:p w:rsidR="00F856C6" w:rsidRPr="005418A4" w:rsidRDefault="00F856C6" w:rsidP="005418A4">
      <w:pPr>
        <w:pStyle w:val="Style3"/>
        <w:widowControl/>
        <w:numPr>
          <w:ilvl w:val="1"/>
          <w:numId w:val="37"/>
        </w:numPr>
        <w:spacing w:line="276" w:lineRule="auto"/>
        <w:ind w:left="0" w:firstLine="0"/>
        <w:rPr>
          <w:rFonts w:asciiTheme="minorHAnsi" w:hAnsiTheme="minorHAnsi" w:cstheme="minorHAnsi"/>
        </w:rPr>
      </w:pPr>
      <w:r w:rsidRPr="005418A4">
        <w:rPr>
          <w:rFonts w:asciiTheme="minorHAnsi" w:hAnsiTheme="minorHAnsi" w:cstheme="minorHAnsi"/>
        </w:rPr>
        <w:t>wyznacza imiennie adwokata lub radcę prawnego z urzędu.</w:t>
      </w:r>
    </w:p>
    <w:p w:rsidR="00F856C6" w:rsidRPr="005418A4" w:rsidRDefault="00F856C6" w:rsidP="005418A4">
      <w:pPr>
        <w:pStyle w:val="Style3"/>
        <w:widowControl/>
        <w:spacing w:line="276" w:lineRule="auto"/>
        <w:rPr>
          <w:rFonts w:asciiTheme="minorHAnsi" w:hAnsiTheme="minorHAnsi" w:cstheme="minorHAnsi"/>
        </w:rPr>
      </w:pPr>
    </w:p>
    <w:p w:rsidR="00F856C6" w:rsidRPr="005418A4" w:rsidRDefault="00F856C6" w:rsidP="005418A4">
      <w:pPr>
        <w:pStyle w:val="Style3"/>
        <w:numPr>
          <w:ilvl w:val="0"/>
          <w:numId w:val="25"/>
        </w:numPr>
        <w:spacing w:line="276" w:lineRule="auto"/>
        <w:ind w:left="0" w:firstLine="0"/>
        <w:rPr>
          <w:rStyle w:val="FontStyle11"/>
          <w:rFonts w:asciiTheme="minorHAnsi" w:hAnsiTheme="minorHAnsi" w:cstheme="minorHAnsi"/>
          <w:b w:val="0"/>
          <w:bCs w:val="0"/>
          <w:sz w:val="24"/>
          <w:szCs w:val="24"/>
        </w:rPr>
      </w:pPr>
      <w:r w:rsidRPr="005418A4">
        <w:rPr>
          <w:rStyle w:val="FontStyle11"/>
          <w:rFonts w:asciiTheme="minorHAnsi" w:hAnsiTheme="minorHAnsi" w:cstheme="minorHAnsi"/>
          <w:sz w:val="24"/>
          <w:szCs w:val="24"/>
        </w:rPr>
        <w:t xml:space="preserve">Zgodnie z Kodeksem postępowania cywilnego, od należności z tytułu kosztów </w:t>
      </w:r>
      <w:r w:rsidRPr="005418A4">
        <w:rPr>
          <w:rStyle w:val="FontStyle11"/>
          <w:rFonts w:asciiTheme="minorHAnsi" w:hAnsiTheme="minorHAnsi" w:cstheme="minorHAnsi"/>
          <w:sz w:val="24"/>
          <w:szCs w:val="24"/>
        </w:rPr>
        <w:lastRenderedPageBreak/>
        <w:t>procesu zasądzonych w wyroku sądu drugiej instancji przysługują odsetki ustawowe za opóźnienie, o których sąd orzeka:</w:t>
      </w:r>
    </w:p>
    <w:p w:rsidR="00F856C6" w:rsidRPr="005418A4" w:rsidRDefault="00F856C6" w:rsidP="005418A4">
      <w:pPr>
        <w:pStyle w:val="Style3"/>
        <w:numPr>
          <w:ilvl w:val="0"/>
          <w:numId w:val="39"/>
        </w:numPr>
        <w:tabs>
          <w:tab w:val="left" w:pos="562"/>
        </w:tabs>
        <w:spacing w:line="276" w:lineRule="auto"/>
        <w:ind w:left="0" w:firstLine="0"/>
        <w:rPr>
          <w:rStyle w:val="FontStyle11"/>
          <w:rFonts w:asciiTheme="minorHAnsi" w:hAnsiTheme="minorHAnsi" w:cstheme="minorHAnsi"/>
          <w:b w:val="0"/>
          <w:bCs w:val="0"/>
          <w:sz w:val="24"/>
          <w:szCs w:val="24"/>
        </w:rPr>
      </w:pPr>
      <w:r w:rsidRPr="005418A4">
        <w:rPr>
          <w:rStyle w:val="FontStyle11"/>
          <w:rFonts w:asciiTheme="minorHAnsi" w:hAnsiTheme="minorHAnsi" w:cstheme="minorHAnsi"/>
          <w:sz w:val="24"/>
          <w:szCs w:val="24"/>
        </w:rPr>
        <w:t>na wniosek strony;</w:t>
      </w:r>
    </w:p>
    <w:p w:rsidR="00F856C6" w:rsidRPr="005418A4" w:rsidRDefault="00F856C6" w:rsidP="005418A4">
      <w:pPr>
        <w:pStyle w:val="Style3"/>
        <w:numPr>
          <w:ilvl w:val="0"/>
          <w:numId w:val="39"/>
        </w:numPr>
        <w:tabs>
          <w:tab w:val="left" w:pos="562"/>
        </w:tabs>
        <w:spacing w:line="276" w:lineRule="auto"/>
        <w:ind w:left="0" w:firstLine="0"/>
        <w:rPr>
          <w:rStyle w:val="FontStyle11"/>
          <w:rFonts w:asciiTheme="minorHAnsi" w:hAnsiTheme="minorHAnsi" w:cstheme="minorHAnsi"/>
          <w:bCs w:val="0"/>
          <w:sz w:val="24"/>
          <w:szCs w:val="24"/>
        </w:rPr>
      </w:pPr>
      <w:r w:rsidRPr="005418A4">
        <w:rPr>
          <w:rStyle w:val="FontStyle11"/>
          <w:rFonts w:asciiTheme="minorHAnsi" w:hAnsiTheme="minorHAnsi" w:cstheme="minorHAnsi"/>
          <w:sz w:val="24"/>
          <w:szCs w:val="24"/>
        </w:rPr>
        <w:t>z urzędu;</w:t>
      </w:r>
    </w:p>
    <w:p w:rsidR="00F856C6" w:rsidRPr="005418A4" w:rsidRDefault="00F856C6" w:rsidP="005418A4">
      <w:pPr>
        <w:pStyle w:val="Style3"/>
        <w:numPr>
          <w:ilvl w:val="0"/>
          <w:numId w:val="39"/>
        </w:numPr>
        <w:tabs>
          <w:tab w:val="left" w:pos="562"/>
        </w:tabs>
        <w:spacing w:line="276" w:lineRule="auto"/>
        <w:ind w:left="0" w:firstLine="0"/>
        <w:rPr>
          <w:rStyle w:val="FontStyle11"/>
          <w:rFonts w:asciiTheme="minorHAnsi" w:hAnsiTheme="minorHAnsi" w:cstheme="minorHAnsi"/>
          <w:b w:val="0"/>
          <w:bCs w:val="0"/>
          <w:sz w:val="24"/>
          <w:szCs w:val="24"/>
        </w:rPr>
      </w:pPr>
      <w:r w:rsidRPr="005418A4">
        <w:rPr>
          <w:rStyle w:val="FontStyle11"/>
          <w:rFonts w:asciiTheme="minorHAnsi" w:hAnsiTheme="minorHAnsi" w:cstheme="minorHAnsi"/>
          <w:sz w:val="24"/>
          <w:szCs w:val="24"/>
        </w:rPr>
        <w:t>jeśli o odsetkach orzekł sąd pierwszej instancji.</w:t>
      </w:r>
    </w:p>
    <w:p w:rsidR="00F856C6" w:rsidRPr="005418A4" w:rsidRDefault="00F856C6" w:rsidP="005418A4">
      <w:pPr>
        <w:pStyle w:val="Style3"/>
        <w:tabs>
          <w:tab w:val="left" w:pos="562"/>
        </w:tabs>
        <w:spacing w:line="276" w:lineRule="auto"/>
        <w:rPr>
          <w:rStyle w:val="FontStyle11"/>
          <w:rFonts w:asciiTheme="minorHAnsi" w:hAnsiTheme="minorHAnsi" w:cstheme="minorHAnsi"/>
          <w:bCs w:val="0"/>
          <w:sz w:val="24"/>
          <w:szCs w:val="24"/>
        </w:rPr>
      </w:pPr>
    </w:p>
    <w:p w:rsidR="00F856C6" w:rsidRPr="005418A4" w:rsidRDefault="00F856C6" w:rsidP="005418A4">
      <w:pPr>
        <w:pStyle w:val="Style3"/>
        <w:numPr>
          <w:ilvl w:val="0"/>
          <w:numId w:val="25"/>
        </w:numPr>
        <w:spacing w:line="276" w:lineRule="auto"/>
        <w:ind w:left="0" w:firstLine="0"/>
        <w:rPr>
          <w:rStyle w:val="FontStyle11"/>
          <w:rFonts w:asciiTheme="minorHAnsi" w:hAnsiTheme="minorHAnsi" w:cstheme="minorHAnsi"/>
          <w:b w:val="0"/>
          <w:bCs w:val="0"/>
          <w:sz w:val="24"/>
          <w:szCs w:val="24"/>
        </w:rPr>
      </w:pPr>
      <w:r w:rsidRPr="005418A4">
        <w:rPr>
          <w:rStyle w:val="FontStyle11"/>
          <w:rFonts w:asciiTheme="minorHAnsi" w:hAnsiTheme="minorHAnsi" w:cstheme="minorHAnsi"/>
          <w:sz w:val="24"/>
          <w:szCs w:val="24"/>
        </w:rPr>
        <w:t>Zgodnie z Kodeksem postępowania cywilnego, jeśli sąd w orzeczeniu kończącym sprawę nie orzekł o kosztach procesu, stronie przysługuje wniosek:</w:t>
      </w:r>
    </w:p>
    <w:p w:rsidR="00F856C6" w:rsidRPr="005418A4" w:rsidRDefault="00F856C6" w:rsidP="005418A4">
      <w:pPr>
        <w:pStyle w:val="Style3"/>
        <w:numPr>
          <w:ilvl w:val="0"/>
          <w:numId w:val="40"/>
        </w:numPr>
        <w:tabs>
          <w:tab w:val="left" w:pos="562"/>
        </w:tabs>
        <w:spacing w:line="276" w:lineRule="auto"/>
        <w:ind w:left="0" w:firstLine="0"/>
        <w:rPr>
          <w:rStyle w:val="FontStyle11"/>
          <w:rFonts w:asciiTheme="minorHAnsi" w:hAnsiTheme="minorHAnsi" w:cstheme="minorHAnsi"/>
          <w:b w:val="0"/>
          <w:bCs w:val="0"/>
          <w:sz w:val="24"/>
          <w:szCs w:val="24"/>
        </w:rPr>
      </w:pPr>
      <w:r w:rsidRPr="005418A4">
        <w:rPr>
          <w:rStyle w:val="FontStyle11"/>
          <w:rFonts w:asciiTheme="minorHAnsi" w:hAnsiTheme="minorHAnsi" w:cstheme="minorHAnsi"/>
          <w:sz w:val="24"/>
          <w:szCs w:val="24"/>
        </w:rPr>
        <w:t>o sprostowanie orzeczenia;</w:t>
      </w:r>
    </w:p>
    <w:p w:rsidR="00F856C6" w:rsidRPr="005418A4" w:rsidRDefault="00F856C6" w:rsidP="005418A4">
      <w:pPr>
        <w:pStyle w:val="Style3"/>
        <w:numPr>
          <w:ilvl w:val="0"/>
          <w:numId w:val="40"/>
        </w:numPr>
        <w:tabs>
          <w:tab w:val="left" w:pos="562"/>
        </w:tabs>
        <w:spacing w:line="276" w:lineRule="auto"/>
        <w:ind w:left="0" w:firstLine="0"/>
        <w:rPr>
          <w:rStyle w:val="FontStyle11"/>
          <w:rFonts w:asciiTheme="minorHAnsi" w:hAnsiTheme="minorHAnsi" w:cstheme="minorHAnsi"/>
          <w:bCs w:val="0"/>
          <w:sz w:val="24"/>
          <w:szCs w:val="24"/>
        </w:rPr>
      </w:pPr>
      <w:r w:rsidRPr="005418A4">
        <w:rPr>
          <w:rStyle w:val="FontStyle11"/>
          <w:rFonts w:asciiTheme="minorHAnsi" w:hAnsiTheme="minorHAnsi" w:cstheme="minorHAnsi"/>
          <w:sz w:val="24"/>
          <w:szCs w:val="24"/>
        </w:rPr>
        <w:t>o uzupełnienie orzeczenia;</w:t>
      </w:r>
    </w:p>
    <w:p w:rsidR="00F856C6" w:rsidRPr="005418A4" w:rsidRDefault="00F856C6" w:rsidP="005418A4">
      <w:pPr>
        <w:pStyle w:val="Style3"/>
        <w:numPr>
          <w:ilvl w:val="0"/>
          <w:numId w:val="40"/>
        </w:numPr>
        <w:tabs>
          <w:tab w:val="left" w:pos="562"/>
        </w:tabs>
        <w:spacing w:line="276" w:lineRule="auto"/>
        <w:ind w:left="0" w:firstLine="0"/>
        <w:rPr>
          <w:rStyle w:val="FontStyle11"/>
          <w:rFonts w:asciiTheme="minorHAnsi" w:hAnsiTheme="minorHAnsi" w:cstheme="minorHAnsi"/>
          <w:b w:val="0"/>
          <w:bCs w:val="0"/>
          <w:sz w:val="24"/>
          <w:szCs w:val="24"/>
        </w:rPr>
      </w:pPr>
      <w:r w:rsidRPr="005418A4">
        <w:rPr>
          <w:rStyle w:val="FontStyle11"/>
          <w:rFonts w:asciiTheme="minorHAnsi" w:hAnsiTheme="minorHAnsi" w:cstheme="minorHAnsi"/>
          <w:sz w:val="24"/>
          <w:szCs w:val="24"/>
        </w:rPr>
        <w:t>o wykładnię orzeczenia.</w:t>
      </w:r>
    </w:p>
    <w:p w:rsidR="00F856C6" w:rsidRPr="005418A4" w:rsidRDefault="00F856C6" w:rsidP="005418A4">
      <w:pPr>
        <w:pStyle w:val="Style3"/>
        <w:tabs>
          <w:tab w:val="left" w:pos="562"/>
        </w:tabs>
        <w:spacing w:line="276" w:lineRule="auto"/>
        <w:rPr>
          <w:rStyle w:val="FontStyle11"/>
          <w:rFonts w:asciiTheme="minorHAnsi" w:hAnsiTheme="minorHAnsi" w:cstheme="minorHAnsi"/>
          <w:bCs w:val="0"/>
          <w:sz w:val="24"/>
          <w:szCs w:val="24"/>
        </w:rPr>
      </w:pPr>
    </w:p>
    <w:p w:rsidR="00F856C6" w:rsidRPr="005418A4" w:rsidRDefault="00F856C6" w:rsidP="005418A4">
      <w:pPr>
        <w:pStyle w:val="Style3"/>
        <w:numPr>
          <w:ilvl w:val="0"/>
          <w:numId w:val="25"/>
        </w:numPr>
        <w:tabs>
          <w:tab w:val="left" w:pos="562"/>
        </w:tabs>
        <w:spacing w:line="276" w:lineRule="auto"/>
        <w:ind w:left="0" w:firstLine="0"/>
        <w:rPr>
          <w:rStyle w:val="FontStyle11"/>
          <w:rFonts w:asciiTheme="minorHAnsi" w:hAnsiTheme="minorHAnsi" w:cstheme="minorHAnsi"/>
          <w:b w:val="0"/>
          <w:bCs w:val="0"/>
          <w:sz w:val="24"/>
          <w:szCs w:val="24"/>
        </w:rPr>
      </w:pPr>
      <w:r w:rsidRPr="005418A4">
        <w:rPr>
          <w:rStyle w:val="FontStyle11"/>
          <w:rFonts w:asciiTheme="minorHAnsi" w:hAnsiTheme="minorHAnsi" w:cstheme="minorHAnsi"/>
          <w:sz w:val="24"/>
          <w:szCs w:val="24"/>
        </w:rPr>
        <w:tab/>
        <w:t>Zgodnie z Kodeksem postępowania cywilnego, w  razie ustalenia, że apelującemu nie przysługuje interes prawny w zaskarżeniu orzeczenia sąd:</w:t>
      </w:r>
    </w:p>
    <w:p w:rsidR="00F856C6" w:rsidRPr="005418A4" w:rsidRDefault="00F856C6" w:rsidP="005418A4">
      <w:pPr>
        <w:pStyle w:val="Style3"/>
        <w:numPr>
          <w:ilvl w:val="0"/>
          <w:numId w:val="41"/>
        </w:numPr>
        <w:tabs>
          <w:tab w:val="left" w:pos="562"/>
        </w:tabs>
        <w:spacing w:line="276" w:lineRule="auto"/>
        <w:ind w:left="0" w:firstLine="0"/>
        <w:rPr>
          <w:rStyle w:val="FontStyle11"/>
          <w:rFonts w:asciiTheme="minorHAnsi" w:hAnsiTheme="minorHAnsi" w:cstheme="minorHAnsi"/>
          <w:bCs w:val="0"/>
          <w:sz w:val="24"/>
          <w:szCs w:val="24"/>
        </w:rPr>
      </w:pPr>
      <w:r w:rsidRPr="005418A4">
        <w:rPr>
          <w:rStyle w:val="FontStyle11"/>
          <w:rFonts w:asciiTheme="minorHAnsi" w:hAnsiTheme="minorHAnsi" w:cstheme="minorHAnsi"/>
          <w:sz w:val="24"/>
          <w:szCs w:val="24"/>
        </w:rPr>
        <w:t>odrzuca apelację:</w:t>
      </w:r>
    </w:p>
    <w:p w:rsidR="00F856C6" w:rsidRPr="005418A4" w:rsidRDefault="00F856C6" w:rsidP="005418A4">
      <w:pPr>
        <w:pStyle w:val="Style3"/>
        <w:numPr>
          <w:ilvl w:val="0"/>
          <w:numId w:val="41"/>
        </w:numPr>
        <w:tabs>
          <w:tab w:val="left" w:pos="562"/>
        </w:tabs>
        <w:spacing w:line="276" w:lineRule="auto"/>
        <w:ind w:left="0" w:firstLine="0"/>
        <w:rPr>
          <w:rStyle w:val="FontStyle11"/>
          <w:rFonts w:asciiTheme="minorHAnsi" w:hAnsiTheme="minorHAnsi" w:cstheme="minorHAnsi"/>
          <w:b w:val="0"/>
          <w:bCs w:val="0"/>
          <w:sz w:val="24"/>
          <w:szCs w:val="24"/>
        </w:rPr>
      </w:pPr>
      <w:r w:rsidRPr="005418A4">
        <w:rPr>
          <w:rStyle w:val="FontStyle11"/>
          <w:rFonts w:asciiTheme="minorHAnsi" w:hAnsiTheme="minorHAnsi" w:cstheme="minorHAnsi"/>
          <w:sz w:val="24"/>
          <w:szCs w:val="24"/>
        </w:rPr>
        <w:t>oddala apelację;</w:t>
      </w:r>
    </w:p>
    <w:p w:rsidR="00F856C6" w:rsidRPr="005418A4" w:rsidRDefault="00F856C6" w:rsidP="005418A4">
      <w:pPr>
        <w:pStyle w:val="Style3"/>
        <w:numPr>
          <w:ilvl w:val="0"/>
          <w:numId w:val="41"/>
        </w:numPr>
        <w:tabs>
          <w:tab w:val="left" w:pos="562"/>
        </w:tabs>
        <w:spacing w:line="276" w:lineRule="auto"/>
        <w:ind w:left="0" w:firstLine="0"/>
        <w:rPr>
          <w:rStyle w:val="FontStyle11"/>
          <w:rFonts w:asciiTheme="minorHAnsi" w:hAnsiTheme="minorHAnsi" w:cstheme="minorHAnsi"/>
          <w:b w:val="0"/>
          <w:bCs w:val="0"/>
          <w:sz w:val="24"/>
          <w:szCs w:val="24"/>
        </w:rPr>
      </w:pPr>
      <w:r w:rsidRPr="005418A4">
        <w:rPr>
          <w:rStyle w:val="FontStyle11"/>
          <w:rFonts w:asciiTheme="minorHAnsi" w:hAnsiTheme="minorHAnsi" w:cstheme="minorHAnsi"/>
          <w:sz w:val="24"/>
          <w:szCs w:val="24"/>
        </w:rPr>
        <w:t>wzywa do uzupełnienia braku formalnego apelacji.</w:t>
      </w:r>
    </w:p>
    <w:p w:rsidR="00F856C6" w:rsidRPr="005418A4" w:rsidRDefault="00F856C6" w:rsidP="005418A4">
      <w:pPr>
        <w:pStyle w:val="Style3"/>
        <w:tabs>
          <w:tab w:val="left" w:pos="562"/>
        </w:tabs>
        <w:spacing w:line="276" w:lineRule="auto"/>
        <w:rPr>
          <w:rStyle w:val="FontStyle11"/>
          <w:rFonts w:asciiTheme="minorHAnsi" w:hAnsiTheme="minorHAnsi" w:cstheme="minorHAnsi"/>
          <w:bCs w:val="0"/>
          <w:sz w:val="24"/>
          <w:szCs w:val="24"/>
        </w:rPr>
      </w:pPr>
    </w:p>
    <w:p w:rsidR="00F856C6" w:rsidRPr="00265DDD" w:rsidRDefault="00F856C6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Zgodnie z Kodeksem postępowania cywilnego, jeśli sąd drugiej instancji odrzucił skargę kasacyjną, postanowienie jest:</w:t>
      </w:r>
    </w:p>
    <w:p w:rsidR="00F856C6" w:rsidRPr="005418A4" w:rsidRDefault="00F856C6" w:rsidP="005418A4">
      <w:pPr>
        <w:pStyle w:val="Akapitzlist"/>
        <w:numPr>
          <w:ilvl w:val="0"/>
          <w:numId w:val="42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zaskarżalne do innego składu sądu drugiej instancji;</w:t>
      </w:r>
    </w:p>
    <w:p w:rsidR="00F856C6" w:rsidRPr="005418A4" w:rsidRDefault="00F856C6" w:rsidP="005418A4">
      <w:pPr>
        <w:pStyle w:val="Akapitzlist"/>
        <w:numPr>
          <w:ilvl w:val="0"/>
          <w:numId w:val="42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zaskarżalne do Sądu Najwyższego;</w:t>
      </w:r>
    </w:p>
    <w:p w:rsidR="00F856C6" w:rsidRPr="005418A4" w:rsidRDefault="00F856C6" w:rsidP="005418A4">
      <w:pPr>
        <w:pStyle w:val="Akapitzlist"/>
        <w:numPr>
          <w:ilvl w:val="0"/>
          <w:numId w:val="42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 xml:space="preserve">jest niezaskarżalne. </w:t>
      </w:r>
    </w:p>
    <w:p w:rsidR="00F856C6" w:rsidRPr="005418A4" w:rsidRDefault="00F856C6" w:rsidP="005418A4">
      <w:pPr>
        <w:pStyle w:val="Akapitzlist"/>
        <w:spacing w:line="276" w:lineRule="auto"/>
        <w:ind w:left="0"/>
        <w:rPr>
          <w:rFonts w:asciiTheme="minorHAnsi" w:hAnsiTheme="minorHAnsi" w:cstheme="minorHAnsi"/>
          <w:b/>
          <w:szCs w:val="24"/>
        </w:rPr>
      </w:pPr>
    </w:p>
    <w:p w:rsidR="00F856C6" w:rsidRPr="00265DDD" w:rsidRDefault="00F856C6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t>Zgodnie z Kodeksem postępowania cywilnego, jeśli Sąd pierwszej instancji nie orzekł w przedmiocie zarzutu potrącenia, mimo procesowej dopuszczalności jego podniesienia (art. 203</w:t>
      </w:r>
      <w:r w:rsidRPr="00265DDD">
        <w:rPr>
          <w:rFonts w:asciiTheme="minorHAnsi" w:hAnsiTheme="minorHAnsi" w:cstheme="minorHAnsi"/>
          <w:b/>
          <w:szCs w:val="24"/>
          <w:vertAlign w:val="superscript"/>
        </w:rPr>
        <w:t xml:space="preserve">1 </w:t>
      </w:r>
      <w:r w:rsidRPr="00265DDD">
        <w:rPr>
          <w:rFonts w:asciiTheme="minorHAnsi" w:hAnsiTheme="minorHAnsi" w:cstheme="minorHAnsi"/>
          <w:b/>
          <w:szCs w:val="24"/>
        </w:rPr>
        <w:t>k.p.c.):</w:t>
      </w:r>
    </w:p>
    <w:p w:rsidR="00F856C6" w:rsidRPr="005418A4" w:rsidRDefault="00F856C6" w:rsidP="005418A4">
      <w:pPr>
        <w:pStyle w:val="Akapitzlist"/>
        <w:numPr>
          <w:ilvl w:val="0"/>
          <w:numId w:val="43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bookmarkStart w:id="0" w:name="_Hlk89426435"/>
      <w:r w:rsidRPr="005418A4">
        <w:rPr>
          <w:rFonts w:asciiTheme="minorHAnsi" w:hAnsiTheme="minorHAnsi" w:cstheme="minorHAnsi"/>
          <w:szCs w:val="24"/>
        </w:rPr>
        <w:t>postępowanie jest nieważne, ponieważ strona została pozbawiona możności obrony praw;</w:t>
      </w:r>
    </w:p>
    <w:p w:rsidR="00F856C6" w:rsidRPr="005418A4" w:rsidRDefault="00F856C6" w:rsidP="005418A4">
      <w:pPr>
        <w:pStyle w:val="Akapitzlist"/>
        <w:numPr>
          <w:ilvl w:val="0"/>
          <w:numId w:val="43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wyrok może zostać uchylony, a sprawa przekazana do ponownego rozpoznania, ponieważ sąd pierwszej instancji nie rozpoznał istoty sprawy;</w:t>
      </w:r>
    </w:p>
    <w:p w:rsidR="00F856C6" w:rsidRPr="005418A4" w:rsidRDefault="00F856C6" w:rsidP="005418A4">
      <w:pPr>
        <w:pStyle w:val="Akapitzlist"/>
        <w:numPr>
          <w:ilvl w:val="0"/>
          <w:numId w:val="43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 xml:space="preserve">sąd drugiej instancji nie uchyla wyroku Sądu pierwszej instancji, a jedynie przekazuje sprawę do ponownego rozpoznania. </w:t>
      </w:r>
      <w:bookmarkEnd w:id="0"/>
    </w:p>
    <w:p w:rsidR="00F856C6" w:rsidRPr="005418A4" w:rsidRDefault="00F856C6" w:rsidP="005418A4">
      <w:pPr>
        <w:pStyle w:val="Akapitzlist"/>
        <w:spacing w:line="276" w:lineRule="auto"/>
        <w:ind w:left="0"/>
        <w:rPr>
          <w:rStyle w:val="FontStyle12"/>
          <w:rFonts w:asciiTheme="minorHAnsi" w:hAnsiTheme="minorHAnsi" w:cstheme="minorHAnsi"/>
          <w:sz w:val="24"/>
          <w:szCs w:val="24"/>
        </w:rPr>
      </w:pPr>
    </w:p>
    <w:p w:rsidR="00F856C6" w:rsidRPr="00265DDD" w:rsidRDefault="00F856C6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Style w:val="FontStyle12"/>
          <w:rFonts w:asciiTheme="minorHAnsi" w:hAnsiTheme="minorHAnsi" w:cstheme="minorHAnsi"/>
          <w:b/>
          <w:sz w:val="24"/>
          <w:szCs w:val="24"/>
        </w:rPr>
      </w:pPr>
      <w:r w:rsidRPr="00265DDD">
        <w:rPr>
          <w:rStyle w:val="FontStyle12"/>
          <w:rFonts w:asciiTheme="minorHAnsi" w:hAnsiTheme="minorHAnsi" w:cstheme="minorHAnsi"/>
          <w:b/>
          <w:sz w:val="24"/>
          <w:szCs w:val="24"/>
        </w:rPr>
        <w:t>Zgodnie z Kodeksem cywilnym, dłużnicy solidarni zobowiązani są spełnić świadczenie:</w:t>
      </w:r>
    </w:p>
    <w:p w:rsidR="00F856C6" w:rsidRPr="005418A4" w:rsidRDefault="00F856C6" w:rsidP="005418A4">
      <w:pPr>
        <w:pStyle w:val="Akapitzlist"/>
        <w:numPr>
          <w:ilvl w:val="0"/>
          <w:numId w:val="44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>każdy w takim samym terminie;</w:t>
      </w:r>
    </w:p>
    <w:p w:rsidR="00F856C6" w:rsidRPr="005418A4" w:rsidRDefault="00F856C6" w:rsidP="005418A4">
      <w:pPr>
        <w:pStyle w:val="Akapitzlist"/>
        <w:numPr>
          <w:ilvl w:val="0"/>
          <w:numId w:val="44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możliwa jest sytuacja, w której termin spełnienia świadczenia w odniesieniu do każdego z dłużników solidarnych będzie inny;</w:t>
      </w:r>
    </w:p>
    <w:p w:rsidR="00F856C6" w:rsidRPr="005418A4" w:rsidRDefault="00F856C6" w:rsidP="005418A4">
      <w:pPr>
        <w:pStyle w:val="Akapitzlist"/>
        <w:numPr>
          <w:ilvl w:val="0"/>
          <w:numId w:val="44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 xml:space="preserve">świadczenie staje się wymagalne w odniesieniu do każdego z dłużników solidarnych po wezwaniu do zapłaty, mimo że z treści stosunku prawnego wynika termin spełnienia świadczenia. </w:t>
      </w:r>
    </w:p>
    <w:p w:rsidR="00F856C6" w:rsidRPr="005418A4" w:rsidRDefault="00F856C6" w:rsidP="005418A4">
      <w:pPr>
        <w:pStyle w:val="Akapitzlist"/>
        <w:spacing w:line="276" w:lineRule="auto"/>
        <w:ind w:left="0"/>
        <w:rPr>
          <w:rFonts w:asciiTheme="minorHAnsi" w:hAnsiTheme="minorHAnsi" w:cstheme="minorHAnsi"/>
          <w:szCs w:val="24"/>
        </w:rPr>
      </w:pPr>
    </w:p>
    <w:p w:rsidR="00F856C6" w:rsidRPr="00265DDD" w:rsidRDefault="00F856C6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Fonts w:asciiTheme="minorHAnsi" w:hAnsiTheme="minorHAnsi" w:cstheme="minorHAnsi"/>
          <w:b/>
          <w:szCs w:val="24"/>
        </w:rPr>
        <w:lastRenderedPageBreak/>
        <w:t>Zgodnie z Kodeksem cywilnym, prokura jest</w:t>
      </w:r>
      <w:r w:rsidRPr="00265DDD">
        <w:rPr>
          <w:rFonts w:asciiTheme="minorHAnsi" w:hAnsiTheme="minorHAnsi" w:cstheme="minorHAnsi"/>
          <w:b/>
          <w:color w:val="333333"/>
          <w:szCs w:val="24"/>
          <w:shd w:val="clear" w:color="auto" w:fill="FFFFFF"/>
        </w:rPr>
        <w:t xml:space="preserve"> pełnomocnictwem udzielonym przez przedsiębiorcę</w:t>
      </w:r>
      <w:r w:rsidRPr="00265DDD">
        <w:rPr>
          <w:rFonts w:asciiTheme="minorHAnsi" w:hAnsiTheme="minorHAnsi" w:cstheme="minorHAnsi"/>
          <w:b/>
          <w:szCs w:val="24"/>
        </w:rPr>
        <w:t>:</w:t>
      </w:r>
    </w:p>
    <w:p w:rsidR="00F856C6" w:rsidRPr="005418A4" w:rsidRDefault="00F856C6" w:rsidP="005418A4">
      <w:pPr>
        <w:pStyle w:val="Akapitzlist"/>
        <w:numPr>
          <w:ilvl w:val="0"/>
          <w:numId w:val="45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color w:val="333333"/>
          <w:szCs w:val="24"/>
          <w:shd w:val="clear" w:color="auto" w:fill="FFFFFF"/>
        </w:rPr>
        <w:t>wyłącznie podlegającego obowiązkowi wpisu do Centralnej Ewidencji i Informacji o Działalności Gospodarczej;</w:t>
      </w:r>
    </w:p>
    <w:p w:rsidR="00F856C6" w:rsidRPr="005418A4" w:rsidRDefault="00F856C6" w:rsidP="005418A4">
      <w:pPr>
        <w:pStyle w:val="Akapitzlist"/>
        <w:numPr>
          <w:ilvl w:val="0"/>
          <w:numId w:val="45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color w:val="333333"/>
          <w:szCs w:val="24"/>
          <w:shd w:val="clear" w:color="auto" w:fill="FFFFFF"/>
        </w:rPr>
        <w:t>wyłącznie podlegającego obowiązkowi wpisu do rejestru przedsiębiorców Krajowego Rejestru Sądowego;</w:t>
      </w:r>
    </w:p>
    <w:p w:rsidR="00F856C6" w:rsidRPr="005418A4" w:rsidRDefault="00F856C6" w:rsidP="005418A4">
      <w:pPr>
        <w:pStyle w:val="Akapitzlist"/>
        <w:numPr>
          <w:ilvl w:val="0"/>
          <w:numId w:val="4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podlegającego obowiązkowi wpisu do Centralnej Ewidencji i Informacji o Działalności Gospodarczej albo do rejestru przedsiębiorców Krajowego Rejestru Sądowego.</w:t>
      </w:r>
    </w:p>
    <w:p w:rsidR="00F856C6" w:rsidRPr="005418A4" w:rsidRDefault="00F856C6" w:rsidP="005418A4">
      <w:pPr>
        <w:pStyle w:val="Akapitzlist"/>
        <w:spacing w:line="276" w:lineRule="auto"/>
        <w:ind w:left="0"/>
        <w:rPr>
          <w:rFonts w:asciiTheme="minorHAnsi" w:hAnsiTheme="minorHAnsi" w:cstheme="minorHAnsi"/>
          <w:szCs w:val="24"/>
        </w:rPr>
      </w:pPr>
    </w:p>
    <w:p w:rsidR="00F856C6" w:rsidRPr="00265DDD" w:rsidRDefault="00F856C6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Style w:val="FontStyle12"/>
          <w:rFonts w:asciiTheme="minorHAnsi" w:hAnsiTheme="minorHAnsi" w:cstheme="minorHAnsi"/>
          <w:b/>
          <w:sz w:val="24"/>
          <w:szCs w:val="24"/>
        </w:rPr>
      </w:pPr>
      <w:r w:rsidRPr="00265DDD">
        <w:rPr>
          <w:rStyle w:val="FontStyle12"/>
          <w:rFonts w:asciiTheme="minorHAnsi" w:hAnsiTheme="minorHAnsi" w:cstheme="minorHAnsi"/>
          <w:b/>
          <w:sz w:val="24"/>
          <w:szCs w:val="24"/>
        </w:rPr>
        <w:t>Zgodnie z Kodeksem cywilnym,</w:t>
      </w:r>
      <w:r w:rsidRPr="00265DDD">
        <w:rPr>
          <w:rFonts w:asciiTheme="minorHAnsi" w:hAnsiTheme="minorHAnsi" w:cstheme="minorHAnsi"/>
          <w:b/>
          <w:szCs w:val="24"/>
        </w:rPr>
        <w:t xml:space="preserve"> </w:t>
      </w:r>
      <w:r w:rsidRPr="00265DDD">
        <w:rPr>
          <w:rStyle w:val="FontStyle12"/>
          <w:rFonts w:asciiTheme="minorHAnsi" w:hAnsiTheme="minorHAnsi" w:cstheme="minorHAnsi"/>
          <w:b/>
          <w:sz w:val="24"/>
          <w:szCs w:val="24"/>
        </w:rPr>
        <w:t>termin przedawnienia roszczenia przysługującego przeciwko konsumentowi:</w:t>
      </w:r>
    </w:p>
    <w:p w:rsidR="00F856C6" w:rsidRPr="005418A4" w:rsidRDefault="00F856C6" w:rsidP="005418A4">
      <w:pPr>
        <w:pStyle w:val="Akapitzlist"/>
        <w:numPr>
          <w:ilvl w:val="0"/>
          <w:numId w:val="46"/>
        </w:numPr>
        <w:spacing w:line="276" w:lineRule="auto"/>
        <w:ind w:left="0" w:firstLine="0"/>
        <w:rPr>
          <w:rStyle w:val="FontStyle12"/>
          <w:rFonts w:asciiTheme="minorHAnsi" w:hAnsiTheme="minorHAnsi" w:cstheme="minorHAnsi"/>
          <w:b/>
          <w:sz w:val="24"/>
          <w:szCs w:val="24"/>
        </w:rPr>
      </w:pPr>
      <w:r w:rsidRPr="005418A4">
        <w:rPr>
          <w:rStyle w:val="FontStyle12"/>
          <w:rFonts w:asciiTheme="minorHAnsi" w:hAnsiTheme="minorHAnsi" w:cstheme="minorHAnsi"/>
          <w:b/>
          <w:sz w:val="24"/>
          <w:szCs w:val="24"/>
        </w:rPr>
        <w:t>sąd uwzględnia z urzędu;</w:t>
      </w:r>
    </w:p>
    <w:p w:rsidR="00F856C6" w:rsidRPr="005418A4" w:rsidRDefault="00F856C6" w:rsidP="005418A4">
      <w:pPr>
        <w:pStyle w:val="Akapitzlist"/>
        <w:numPr>
          <w:ilvl w:val="0"/>
          <w:numId w:val="46"/>
        </w:numPr>
        <w:spacing w:line="276" w:lineRule="auto"/>
        <w:ind w:left="0" w:firstLine="0"/>
        <w:rPr>
          <w:rStyle w:val="FontStyle12"/>
          <w:rFonts w:asciiTheme="minorHAnsi" w:hAnsiTheme="minorHAnsi" w:cstheme="minorHAnsi"/>
          <w:sz w:val="24"/>
          <w:szCs w:val="24"/>
        </w:rPr>
      </w:pPr>
      <w:r w:rsidRPr="005418A4">
        <w:rPr>
          <w:rStyle w:val="FontStyle12"/>
          <w:rFonts w:asciiTheme="minorHAnsi" w:hAnsiTheme="minorHAnsi" w:cstheme="minorHAnsi"/>
          <w:sz w:val="24"/>
          <w:szCs w:val="24"/>
        </w:rPr>
        <w:t>sąd uwzględnia na zarzut pozwanego;</w:t>
      </w:r>
    </w:p>
    <w:p w:rsidR="00F856C6" w:rsidRPr="005418A4" w:rsidRDefault="00F856C6" w:rsidP="005418A4">
      <w:pPr>
        <w:pStyle w:val="Akapitzlist"/>
        <w:numPr>
          <w:ilvl w:val="0"/>
          <w:numId w:val="46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color w:val="333333"/>
          <w:szCs w:val="24"/>
          <w:shd w:val="clear" w:color="auto" w:fill="FFFFFF"/>
        </w:rPr>
        <w:t xml:space="preserve">sąd może nie uwzględnić upływu terminu przedawnienia, jeśli od dnia wymagalności roszczenia nie upłynął okres 3 lat. </w:t>
      </w:r>
    </w:p>
    <w:p w:rsidR="00F856C6" w:rsidRPr="005418A4" w:rsidRDefault="00F856C6" w:rsidP="005418A4">
      <w:pPr>
        <w:pStyle w:val="Akapitzlist"/>
        <w:spacing w:line="276" w:lineRule="auto"/>
        <w:ind w:left="0"/>
        <w:rPr>
          <w:rStyle w:val="FontStyle12"/>
          <w:rFonts w:asciiTheme="minorHAnsi" w:hAnsiTheme="minorHAnsi" w:cstheme="minorHAnsi"/>
          <w:sz w:val="24"/>
          <w:szCs w:val="24"/>
        </w:rPr>
      </w:pPr>
    </w:p>
    <w:p w:rsidR="00F856C6" w:rsidRPr="00265DDD" w:rsidRDefault="00F856C6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Style w:val="FontStyle12"/>
          <w:rFonts w:asciiTheme="minorHAnsi" w:hAnsiTheme="minorHAnsi" w:cstheme="minorHAnsi"/>
          <w:b/>
          <w:sz w:val="24"/>
          <w:szCs w:val="24"/>
        </w:rPr>
      </w:pPr>
      <w:r w:rsidRPr="00265DDD">
        <w:rPr>
          <w:rStyle w:val="FontStyle12"/>
          <w:rFonts w:asciiTheme="minorHAnsi" w:hAnsiTheme="minorHAnsi" w:cstheme="minorHAnsi"/>
          <w:b/>
          <w:sz w:val="24"/>
          <w:szCs w:val="24"/>
        </w:rPr>
        <w:t>Zgodnie z Kodeksem cywilnym, kara umowna:</w:t>
      </w:r>
    </w:p>
    <w:p w:rsidR="00F856C6" w:rsidRPr="005418A4" w:rsidRDefault="00F856C6" w:rsidP="005418A4">
      <w:pPr>
        <w:pStyle w:val="Akapitzlist"/>
        <w:numPr>
          <w:ilvl w:val="0"/>
          <w:numId w:val="47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Style w:val="FontStyle12"/>
          <w:rFonts w:asciiTheme="minorHAnsi" w:hAnsiTheme="minorHAnsi" w:cstheme="minorHAnsi"/>
          <w:sz w:val="24"/>
          <w:szCs w:val="24"/>
        </w:rPr>
        <w:t>przysługuje, jeśli</w:t>
      </w:r>
      <w:r w:rsidRPr="005418A4">
        <w:rPr>
          <w:rFonts w:asciiTheme="minorHAnsi" w:hAnsiTheme="minorHAnsi" w:cstheme="minorHAnsi"/>
          <w:szCs w:val="24"/>
        </w:rPr>
        <w:t xml:space="preserve"> wierzyciel poniósł szkodę;</w:t>
      </w:r>
    </w:p>
    <w:p w:rsidR="00F856C6" w:rsidRPr="005418A4" w:rsidRDefault="00F856C6" w:rsidP="005418A4">
      <w:pPr>
        <w:pStyle w:val="Akapitzlist"/>
        <w:numPr>
          <w:ilvl w:val="0"/>
          <w:numId w:val="47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szCs w:val="24"/>
        </w:rPr>
        <w:t>nie jest zależna od poniesienia przez wierzyciela szkody;</w:t>
      </w:r>
    </w:p>
    <w:p w:rsidR="00F856C6" w:rsidRPr="005418A4" w:rsidRDefault="00F856C6" w:rsidP="005418A4">
      <w:pPr>
        <w:pStyle w:val="Akapitzlist"/>
        <w:numPr>
          <w:ilvl w:val="0"/>
          <w:numId w:val="47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szCs w:val="24"/>
        </w:rPr>
        <w:t xml:space="preserve">zawsze powinna być niższa, niż wysokość szkody. </w:t>
      </w:r>
    </w:p>
    <w:p w:rsidR="00F856C6" w:rsidRPr="005418A4" w:rsidRDefault="00F856C6" w:rsidP="005418A4">
      <w:pPr>
        <w:pStyle w:val="Akapitzlist"/>
        <w:spacing w:line="276" w:lineRule="auto"/>
        <w:ind w:left="0"/>
        <w:rPr>
          <w:rFonts w:asciiTheme="minorHAnsi" w:hAnsiTheme="minorHAnsi" w:cstheme="minorHAnsi"/>
          <w:szCs w:val="24"/>
        </w:rPr>
      </w:pPr>
    </w:p>
    <w:p w:rsidR="00F856C6" w:rsidRPr="00265DDD" w:rsidRDefault="00F856C6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265DDD">
        <w:rPr>
          <w:rStyle w:val="FontStyle12"/>
          <w:rFonts w:asciiTheme="minorHAnsi" w:hAnsiTheme="minorHAnsi" w:cstheme="minorHAnsi"/>
          <w:b/>
          <w:sz w:val="24"/>
          <w:szCs w:val="24"/>
        </w:rPr>
        <w:t>Zgodnie z Kodeksem cywilnym,</w:t>
      </w:r>
      <w:r w:rsidRPr="00265DDD">
        <w:rPr>
          <w:rFonts w:asciiTheme="minorHAnsi" w:hAnsiTheme="minorHAnsi" w:cstheme="minorHAnsi"/>
          <w:b/>
          <w:szCs w:val="24"/>
        </w:rPr>
        <w:t xml:space="preserve"> dłużnik pozostaje w zwłoce:</w:t>
      </w:r>
    </w:p>
    <w:p w:rsidR="00F856C6" w:rsidRPr="005418A4" w:rsidRDefault="00F856C6" w:rsidP="005418A4">
      <w:pPr>
        <w:pStyle w:val="Akapitzlist"/>
        <w:numPr>
          <w:ilvl w:val="0"/>
          <w:numId w:val="38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color w:val="333333"/>
          <w:szCs w:val="24"/>
          <w:shd w:val="clear" w:color="auto" w:fill="FFFFFF"/>
        </w:rPr>
        <w:t>gdy nie spełnia świadczenia w terminie, a jeżeli termin nie jest oznaczony, gdy nie spełnia świadczenia niezwłocznie po wezwaniu przez wierzyciela;</w:t>
      </w:r>
    </w:p>
    <w:p w:rsidR="00F856C6" w:rsidRPr="005418A4" w:rsidRDefault="00F856C6" w:rsidP="005418A4">
      <w:pPr>
        <w:pStyle w:val="Akapitzlist"/>
        <w:numPr>
          <w:ilvl w:val="0"/>
          <w:numId w:val="38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color w:val="333333"/>
          <w:szCs w:val="24"/>
          <w:shd w:val="clear" w:color="auto" w:fill="FFFFFF"/>
        </w:rPr>
        <w:t>gdy nie spełnia świadczenia niezwłocznie po wezwaniu przez wierzyciela;</w:t>
      </w:r>
    </w:p>
    <w:p w:rsidR="00F856C6" w:rsidRPr="005418A4" w:rsidRDefault="00F856C6" w:rsidP="005418A4">
      <w:pPr>
        <w:pStyle w:val="Akapitzlist"/>
        <w:numPr>
          <w:ilvl w:val="0"/>
          <w:numId w:val="38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color w:val="333333"/>
          <w:szCs w:val="24"/>
          <w:shd w:val="clear" w:color="auto" w:fill="FFFFFF"/>
        </w:rPr>
        <w:t>gdy nie spełnia świadczenia w terminie, a jeżeli termin nie jest oznaczony, gdy nie spełnia świadczenia niezwłocznie po wezwaniu przez wierzyciela oraz opóźnienie w spełnieniu świadczenia jest następstwem okoliczności, za które dłużnik ponosi odpowiedzialność.</w:t>
      </w:r>
    </w:p>
    <w:p w:rsidR="00F856C6" w:rsidRPr="005418A4" w:rsidRDefault="00F856C6" w:rsidP="005418A4">
      <w:pPr>
        <w:pStyle w:val="Akapitzlist"/>
        <w:spacing w:line="276" w:lineRule="auto"/>
        <w:ind w:left="0"/>
        <w:rPr>
          <w:rStyle w:val="FontStyle12"/>
          <w:rFonts w:asciiTheme="minorHAnsi" w:hAnsiTheme="minorHAnsi" w:cstheme="minorHAnsi"/>
          <w:sz w:val="24"/>
          <w:szCs w:val="24"/>
        </w:rPr>
      </w:pPr>
    </w:p>
    <w:p w:rsidR="00F856C6" w:rsidRPr="00265DDD" w:rsidRDefault="00F856C6" w:rsidP="005418A4">
      <w:pPr>
        <w:pStyle w:val="Akapitzlist"/>
        <w:numPr>
          <w:ilvl w:val="0"/>
          <w:numId w:val="25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bookmarkStart w:id="1" w:name="_GoBack"/>
      <w:r w:rsidRPr="00265DDD">
        <w:rPr>
          <w:rStyle w:val="FontStyle12"/>
          <w:rFonts w:asciiTheme="minorHAnsi" w:hAnsiTheme="minorHAnsi" w:cstheme="minorHAnsi"/>
          <w:b/>
          <w:sz w:val="24"/>
          <w:szCs w:val="24"/>
        </w:rPr>
        <w:t>Zgodnie z Kodeksem cywilnym,</w:t>
      </w:r>
      <w:r w:rsidRPr="00265DDD">
        <w:rPr>
          <w:rFonts w:asciiTheme="minorHAnsi" w:hAnsiTheme="minorHAnsi" w:cstheme="minorHAnsi"/>
          <w:b/>
          <w:szCs w:val="24"/>
        </w:rPr>
        <w:t xml:space="preserve"> </w:t>
      </w:r>
      <w:r w:rsidRPr="00265DDD">
        <w:rPr>
          <w:rFonts w:asciiTheme="minorHAnsi" w:hAnsiTheme="minorHAnsi" w:cstheme="minorHAnsi"/>
          <w:b/>
          <w:color w:val="333333"/>
          <w:szCs w:val="24"/>
          <w:shd w:val="clear" w:color="auto" w:fill="FFFFFF"/>
        </w:rPr>
        <w:t>samoistny posiadacz w dobrej wierze:</w:t>
      </w:r>
    </w:p>
    <w:bookmarkEnd w:id="1"/>
    <w:p w:rsidR="00F856C6" w:rsidRPr="005418A4" w:rsidRDefault="00F856C6" w:rsidP="005418A4">
      <w:pPr>
        <w:pStyle w:val="Akapitzlist"/>
        <w:numPr>
          <w:ilvl w:val="0"/>
          <w:numId w:val="48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color w:val="333333"/>
          <w:szCs w:val="24"/>
          <w:shd w:val="clear" w:color="auto" w:fill="FFFFFF"/>
        </w:rPr>
        <w:t>nigdy nie jest obowiązany do wynagrodzenia za korzystanie z rzeczy;</w:t>
      </w:r>
    </w:p>
    <w:p w:rsidR="00F856C6" w:rsidRPr="005418A4" w:rsidRDefault="00F856C6" w:rsidP="005418A4">
      <w:pPr>
        <w:pStyle w:val="Akapitzlist"/>
        <w:numPr>
          <w:ilvl w:val="0"/>
          <w:numId w:val="48"/>
        </w:numPr>
        <w:spacing w:line="276" w:lineRule="auto"/>
        <w:ind w:left="0" w:firstLine="0"/>
        <w:rPr>
          <w:rFonts w:asciiTheme="minorHAnsi" w:hAnsiTheme="minorHAnsi" w:cstheme="minorHAnsi"/>
          <w:szCs w:val="24"/>
        </w:rPr>
      </w:pPr>
      <w:r w:rsidRPr="005418A4">
        <w:rPr>
          <w:rFonts w:asciiTheme="minorHAnsi" w:hAnsiTheme="minorHAnsi" w:cstheme="minorHAnsi"/>
          <w:color w:val="333333"/>
          <w:szCs w:val="24"/>
          <w:shd w:val="clear" w:color="auto" w:fill="FFFFFF"/>
        </w:rPr>
        <w:t>zawsze jest obowiązany do wynagrodzenia za korzystanie z rzeczy;</w:t>
      </w:r>
    </w:p>
    <w:p w:rsidR="00F856C6" w:rsidRPr="005418A4" w:rsidRDefault="00F856C6" w:rsidP="005418A4">
      <w:pPr>
        <w:pStyle w:val="Akapitzlist"/>
        <w:numPr>
          <w:ilvl w:val="0"/>
          <w:numId w:val="48"/>
        </w:numPr>
        <w:spacing w:line="276" w:lineRule="auto"/>
        <w:ind w:left="0" w:firstLine="0"/>
        <w:rPr>
          <w:rFonts w:asciiTheme="minorHAnsi" w:hAnsiTheme="minorHAnsi" w:cstheme="minorHAnsi"/>
          <w:b/>
          <w:szCs w:val="24"/>
        </w:rPr>
      </w:pPr>
      <w:r w:rsidRPr="005418A4">
        <w:rPr>
          <w:rFonts w:asciiTheme="minorHAnsi" w:hAnsiTheme="minorHAnsi" w:cstheme="minorHAnsi"/>
          <w:b/>
          <w:color w:val="333333"/>
          <w:szCs w:val="24"/>
          <w:shd w:val="clear" w:color="auto" w:fill="FFFFFF"/>
        </w:rPr>
        <w:t>od chwili, w której samoistny posiadacz w dobrej wierze dowiedział się o wytoczeniu przeciwko niemu powództwa o wydanie rzeczy, jest on obowiązany do wynagrodzenia za korzystanie z rzeczy.</w:t>
      </w:r>
    </w:p>
    <w:p w:rsidR="00796824" w:rsidRPr="005418A4" w:rsidRDefault="00796824" w:rsidP="005418A4">
      <w:pPr>
        <w:spacing w:line="276" w:lineRule="auto"/>
        <w:rPr>
          <w:rFonts w:asciiTheme="minorHAnsi" w:hAnsiTheme="minorHAnsi" w:cstheme="minorHAnsi"/>
        </w:rPr>
      </w:pPr>
    </w:p>
    <w:sectPr w:rsidR="00796824" w:rsidRPr="005418A4" w:rsidSect="001B4470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0FD0" w:rsidRDefault="00400FD0" w:rsidP="00400FD0">
      <w:r>
        <w:separator/>
      </w:r>
    </w:p>
  </w:endnote>
  <w:endnote w:type="continuationSeparator" w:id="0">
    <w:p w:rsidR="00400FD0" w:rsidRDefault="00400FD0" w:rsidP="00400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0FD0" w:rsidRDefault="00400FD0" w:rsidP="00400FD0">
      <w:r>
        <w:separator/>
      </w:r>
    </w:p>
  </w:footnote>
  <w:footnote w:type="continuationSeparator" w:id="0">
    <w:p w:rsidR="00400FD0" w:rsidRDefault="00400FD0" w:rsidP="00400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0FD0" w:rsidRDefault="00400FD0">
    <w:pPr>
      <w:pStyle w:val="Nagwek"/>
    </w:pPr>
    <w:r>
      <w:t>Kd.1101.1.4.2025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016F3"/>
    <w:multiLevelType w:val="hybridMultilevel"/>
    <w:tmpl w:val="3D22C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366BD"/>
    <w:multiLevelType w:val="hybridMultilevel"/>
    <w:tmpl w:val="7E66A34E"/>
    <w:lvl w:ilvl="0" w:tplc="08AC0D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8C71DA"/>
    <w:multiLevelType w:val="hybridMultilevel"/>
    <w:tmpl w:val="C0947B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20203C"/>
    <w:multiLevelType w:val="hybridMultilevel"/>
    <w:tmpl w:val="46EA0D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D4736"/>
    <w:multiLevelType w:val="hybridMultilevel"/>
    <w:tmpl w:val="A6CA1E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C082D"/>
    <w:multiLevelType w:val="hybridMultilevel"/>
    <w:tmpl w:val="444A1DD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645471"/>
    <w:multiLevelType w:val="hybridMultilevel"/>
    <w:tmpl w:val="C0947B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E0692F"/>
    <w:multiLevelType w:val="hybridMultilevel"/>
    <w:tmpl w:val="0416FD52"/>
    <w:lvl w:ilvl="0" w:tplc="4D645A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7C2A56"/>
    <w:multiLevelType w:val="hybridMultilevel"/>
    <w:tmpl w:val="C0947B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9D6DF7"/>
    <w:multiLevelType w:val="hybridMultilevel"/>
    <w:tmpl w:val="CA68A2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04AC5"/>
    <w:multiLevelType w:val="hybridMultilevel"/>
    <w:tmpl w:val="C64AA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66325"/>
    <w:multiLevelType w:val="hybridMultilevel"/>
    <w:tmpl w:val="849836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61B0D"/>
    <w:multiLevelType w:val="hybridMultilevel"/>
    <w:tmpl w:val="E7565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26559"/>
    <w:multiLevelType w:val="hybridMultilevel"/>
    <w:tmpl w:val="C0947B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242D32"/>
    <w:multiLevelType w:val="hybridMultilevel"/>
    <w:tmpl w:val="D4567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D15C7"/>
    <w:multiLevelType w:val="hybridMultilevel"/>
    <w:tmpl w:val="E0AEF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55667B"/>
    <w:multiLevelType w:val="hybridMultilevel"/>
    <w:tmpl w:val="5D585E62"/>
    <w:lvl w:ilvl="0" w:tplc="81E0DA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3018AE"/>
    <w:multiLevelType w:val="hybridMultilevel"/>
    <w:tmpl w:val="F42AB1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495E0B"/>
    <w:multiLevelType w:val="hybridMultilevel"/>
    <w:tmpl w:val="802224D4"/>
    <w:lvl w:ilvl="0" w:tplc="5D4CB61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B62DBD"/>
    <w:multiLevelType w:val="hybridMultilevel"/>
    <w:tmpl w:val="C0947B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DF5266"/>
    <w:multiLevelType w:val="hybridMultilevel"/>
    <w:tmpl w:val="C0947B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050BFE"/>
    <w:multiLevelType w:val="hybridMultilevel"/>
    <w:tmpl w:val="DCD09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A926C2"/>
    <w:multiLevelType w:val="hybridMultilevel"/>
    <w:tmpl w:val="A3162332"/>
    <w:lvl w:ilvl="0" w:tplc="9D5685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C070A87"/>
    <w:multiLevelType w:val="hybridMultilevel"/>
    <w:tmpl w:val="DA7A3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5752A8"/>
    <w:multiLevelType w:val="hybridMultilevel"/>
    <w:tmpl w:val="A83E0358"/>
    <w:lvl w:ilvl="0" w:tplc="9FD88920">
      <w:start w:val="1"/>
      <w:numFmt w:val="lowerLetter"/>
      <w:lvlText w:val="%1.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A67116E"/>
    <w:multiLevelType w:val="hybridMultilevel"/>
    <w:tmpl w:val="BC4091D0"/>
    <w:lvl w:ilvl="0" w:tplc="9D5685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9441B4"/>
    <w:multiLevelType w:val="hybridMultilevel"/>
    <w:tmpl w:val="9F2CF92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C2027AC"/>
    <w:multiLevelType w:val="hybridMultilevel"/>
    <w:tmpl w:val="27207504"/>
    <w:lvl w:ilvl="0" w:tplc="5D4CB61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E65FC"/>
    <w:multiLevelType w:val="hybridMultilevel"/>
    <w:tmpl w:val="B2282E3E"/>
    <w:lvl w:ilvl="0" w:tplc="899223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197CD3"/>
    <w:multiLevelType w:val="hybridMultilevel"/>
    <w:tmpl w:val="01F46C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6573F6"/>
    <w:multiLevelType w:val="hybridMultilevel"/>
    <w:tmpl w:val="819CE34C"/>
    <w:lvl w:ilvl="0" w:tplc="7F1E284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A44DF5"/>
    <w:multiLevelType w:val="hybridMultilevel"/>
    <w:tmpl w:val="C0947B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A860AE0"/>
    <w:multiLevelType w:val="hybridMultilevel"/>
    <w:tmpl w:val="134A73DC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CC7A67"/>
    <w:multiLevelType w:val="hybridMultilevel"/>
    <w:tmpl w:val="BCE634D2"/>
    <w:lvl w:ilvl="0" w:tplc="5D4CB61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363CA0"/>
    <w:multiLevelType w:val="hybridMultilevel"/>
    <w:tmpl w:val="C0947B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CF43EAD"/>
    <w:multiLevelType w:val="hybridMultilevel"/>
    <w:tmpl w:val="484C09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0C2BA7"/>
    <w:multiLevelType w:val="hybridMultilevel"/>
    <w:tmpl w:val="9E861B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982C72"/>
    <w:multiLevelType w:val="hybridMultilevel"/>
    <w:tmpl w:val="CDA4C296"/>
    <w:lvl w:ilvl="0" w:tplc="5D4CB61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E07CFC"/>
    <w:multiLevelType w:val="hybridMultilevel"/>
    <w:tmpl w:val="325ECE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3459E3"/>
    <w:multiLevelType w:val="hybridMultilevel"/>
    <w:tmpl w:val="C0947B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4BA05B3"/>
    <w:multiLevelType w:val="hybridMultilevel"/>
    <w:tmpl w:val="F9F035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F82F61"/>
    <w:multiLevelType w:val="hybridMultilevel"/>
    <w:tmpl w:val="114C10B0"/>
    <w:lvl w:ilvl="0" w:tplc="36886C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C3C7FFC"/>
    <w:multiLevelType w:val="hybridMultilevel"/>
    <w:tmpl w:val="3C9EF3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B366DB"/>
    <w:multiLevelType w:val="hybridMultilevel"/>
    <w:tmpl w:val="225C7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976B25"/>
    <w:multiLevelType w:val="hybridMultilevel"/>
    <w:tmpl w:val="34EA3E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8F5687"/>
    <w:multiLevelType w:val="hybridMultilevel"/>
    <w:tmpl w:val="C0947B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6AA1B40"/>
    <w:multiLevelType w:val="hybridMultilevel"/>
    <w:tmpl w:val="91D88E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6E0F90"/>
    <w:multiLevelType w:val="hybridMultilevel"/>
    <w:tmpl w:val="C2B87F0E"/>
    <w:lvl w:ilvl="0" w:tplc="CA3E5B60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47"/>
  </w:num>
  <w:num w:numId="3">
    <w:abstractNumId w:val="14"/>
  </w:num>
  <w:num w:numId="4">
    <w:abstractNumId w:val="5"/>
  </w:num>
  <w:num w:numId="5">
    <w:abstractNumId w:val="1"/>
  </w:num>
  <w:num w:numId="6">
    <w:abstractNumId w:val="28"/>
  </w:num>
  <w:num w:numId="7">
    <w:abstractNumId w:val="16"/>
  </w:num>
  <w:num w:numId="8">
    <w:abstractNumId w:val="41"/>
  </w:num>
  <w:num w:numId="9">
    <w:abstractNumId w:val="18"/>
  </w:num>
  <w:num w:numId="10">
    <w:abstractNumId w:val="7"/>
  </w:num>
  <w:num w:numId="11">
    <w:abstractNumId w:val="30"/>
  </w:num>
  <w:num w:numId="12">
    <w:abstractNumId w:val="10"/>
  </w:num>
  <w:num w:numId="13">
    <w:abstractNumId w:val="33"/>
  </w:num>
  <w:num w:numId="14">
    <w:abstractNumId w:val="35"/>
  </w:num>
  <w:num w:numId="15">
    <w:abstractNumId w:val="38"/>
  </w:num>
  <w:num w:numId="16">
    <w:abstractNumId w:val="3"/>
  </w:num>
  <w:num w:numId="17">
    <w:abstractNumId w:val="15"/>
  </w:num>
  <w:num w:numId="18">
    <w:abstractNumId w:val="22"/>
  </w:num>
  <w:num w:numId="19">
    <w:abstractNumId w:val="27"/>
  </w:num>
  <w:num w:numId="20">
    <w:abstractNumId w:val="25"/>
  </w:num>
  <w:num w:numId="21">
    <w:abstractNumId w:val="37"/>
  </w:num>
  <w:num w:numId="22">
    <w:abstractNumId w:val="21"/>
  </w:num>
  <w:num w:numId="23">
    <w:abstractNumId w:val="12"/>
  </w:num>
  <w:num w:numId="24">
    <w:abstractNumId w:val="36"/>
  </w:num>
  <w:num w:numId="25">
    <w:abstractNumId w:val="0"/>
  </w:num>
  <w:num w:numId="26">
    <w:abstractNumId w:val="26"/>
  </w:num>
  <w:num w:numId="27">
    <w:abstractNumId w:val="46"/>
  </w:num>
  <w:num w:numId="28">
    <w:abstractNumId w:val="4"/>
  </w:num>
  <w:num w:numId="29">
    <w:abstractNumId w:val="42"/>
  </w:num>
  <w:num w:numId="30">
    <w:abstractNumId w:val="17"/>
  </w:num>
  <w:num w:numId="31">
    <w:abstractNumId w:val="43"/>
  </w:num>
  <w:num w:numId="32">
    <w:abstractNumId w:val="29"/>
  </w:num>
  <w:num w:numId="33">
    <w:abstractNumId w:val="11"/>
  </w:num>
  <w:num w:numId="34">
    <w:abstractNumId w:val="44"/>
  </w:num>
  <w:num w:numId="35">
    <w:abstractNumId w:val="40"/>
  </w:num>
  <w:num w:numId="36">
    <w:abstractNumId w:val="9"/>
  </w:num>
  <w:num w:numId="37">
    <w:abstractNumId w:val="32"/>
  </w:num>
  <w:num w:numId="38">
    <w:abstractNumId w:val="24"/>
  </w:num>
  <w:num w:numId="39">
    <w:abstractNumId w:val="8"/>
  </w:num>
  <w:num w:numId="40">
    <w:abstractNumId w:val="6"/>
  </w:num>
  <w:num w:numId="41">
    <w:abstractNumId w:val="20"/>
  </w:num>
  <w:num w:numId="42">
    <w:abstractNumId w:val="39"/>
  </w:num>
  <w:num w:numId="43">
    <w:abstractNumId w:val="13"/>
  </w:num>
  <w:num w:numId="44">
    <w:abstractNumId w:val="34"/>
  </w:num>
  <w:num w:numId="45">
    <w:abstractNumId w:val="45"/>
  </w:num>
  <w:num w:numId="46">
    <w:abstractNumId w:val="19"/>
  </w:num>
  <w:num w:numId="47">
    <w:abstractNumId w:val="31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273"/>
    <w:rsid w:val="000017E3"/>
    <w:rsid w:val="000611E4"/>
    <w:rsid w:val="00136273"/>
    <w:rsid w:val="001834B0"/>
    <w:rsid w:val="001B4470"/>
    <w:rsid w:val="00265DDD"/>
    <w:rsid w:val="0028165B"/>
    <w:rsid w:val="002C0E1B"/>
    <w:rsid w:val="00364B0D"/>
    <w:rsid w:val="003663A2"/>
    <w:rsid w:val="00400FD0"/>
    <w:rsid w:val="00421143"/>
    <w:rsid w:val="00490063"/>
    <w:rsid w:val="004E77A5"/>
    <w:rsid w:val="005418A4"/>
    <w:rsid w:val="007158A1"/>
    <w:rsid w:val="00717B8A"/>
    <w:rsid w:val="0072515B"/>
    <w:rsid w:val="00796824"/>
    <w:rsid w:val="007F4836"/>
    <w:rsid w:val="008B65A4"/>
    <w:rsid w:val="00915DDB"/>
    <w:rsid w:val="00921F7A"/>
    <w:rsid w:val="00996678"/>
    <w:rsid w:val="009B6493"/>
    <w:rsid w:val="00A27930"/>
    <w:rsid w:val="00A57C37"/>
    <w:rsid w:val="00A94493"/>
    <w:rsid w:val="00AF5E4C"/>
    <w:rsid w:val="00B14FBB"/>
    <w:rsid w:val="00B22B18"/>
    <w:rsid w:val="00BA0E56"/>
    <w:rsid w:val="00BA3E28"/>
    <w:rsid w:val="00CB1D33"/>
    <w:rsid w:val="00D34859"/>
    <w:rsid w:val="00DC7288"/>
    <w:rsid w:val="00E574A4"/>
    <w:rsid w:val="00EF66CC"/>
    <w:rsid w:val="00F2239D"/>
    <w:rsid w:val="00F2380D"/>
    <w:rsid w:val="00F8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75AD3"/>
  <w15:chartTrackingRefBased/>
  <w15:docId w15:val="{3E2B1228-0EE7-4551-B297-BE30F99A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ajorBidi"/>
        <w:sz w:val="24"/>
        <w:szCs w:val="24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36273"/>
    <w:pPr>
      <w:spacing w:line="240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6273"/>
    <w:pPr>
      <w:ind w:left="720"/>
      <w:contextualSpacing/>
    </w:pPr>
    <w:rPr>
      <w:rFonts w:cstheme="minorBidi"/>
      <w:szCs w:val="22"/>
    </w:rPr>
  </w:style>
  <w:style w:type="paragraph" w:customStyle="1" w:styleId="Style3">
    <w:name w:val="Style3"/>
    <w:basedOn w:val="Normalny"/>
    <w:uiPriority w:val="99"/>
    <w:rsid w:val="00F856C6"/>
    <w:pPr>
      <w:widowControl w:val="0"/>
      <w:autoSpaceDE w:val="0"/>
      <w:autoSpaceDN w:val="0"/>
      <w:adjustRightInd w:val="0"/>
      <w:spacing w:line="302" w:lineRule="exact"/>
    </w:pPr>
    <w:rPr>
      <w:rFonts w:eastAsiaTheme="minorEastAsia"/>
      <w:lang w:eastAsia="pl-PL"/>
    </w:rPr>
  </w:style>
  <w:style w:type="character" w:customStyle="1" w:styleId="FontStyle11">
    <w:name w:val="Font Style11"/>
    <w:basedOn w:val="Domylnaczcionkaakapitu"/>
    <w:uiPriority w:val="99"/>
    <w:rsid w:val="00F856C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2">
    <w:name w:val="Font Style12"/>
    <w:basedOn w:val="Domylnaczcionkaakapitu"/>
    <w:uiPriority w:val="99"/>
    <w:rsid w:val="00F856C6"/>
    <w:rPr>
      <w:rFonts w:ascii="Times New Roman" w:hAnsi="Times New Roman" w:cs="Times New Roman" w:hint="default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400F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0FD0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400F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0FD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1427</Words>
  <Characters>8562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Iwanowska Urszula</dc:creator>
  <cp:keywords/>
  <dc:description/>
  <cp:lastModifiedBy>Urszula Durakiewicz</cp:lastModifiedBy>
  <cp:revision>2</cp:revision>
  <dcterms:created xsi:type="dcterms:W3CDTF">2025-04-17T12:22:00Z</dcterms:created>
  <dcterms:modified xsi:type="dcterms:W3CDTF">2025-04-17T12:22:00Z</dcterms:modified>
</cp:coreProperties>
</file>