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831" w:rsidRPr="00B00C4A" w:rsidRDefault="008C6831" w:rsidP="00B4151F">
      <w:pPr>
        <w:pStyle w:val="Akapitzlist"/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TEST NA KONKURS NA 2 STANOWISKA ASYSTENTA SĘDZIEGO</w:t>
      </w:r>
    </w:p>
    <w:p w:rsidR="008C6831" w:rsidRPr="00B00C4A" w:rsidRDefault="008C6831" w:rsidP="00B4151F">
      <w:pPr>
        <w:pStyle w:val="Akapitzlist"/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W SĄDZIE APELACYJNYM W SZCZECINIE</w:t>
      </w:r>
    </w:p>
    <w:p w:rsidR="008C6831" w:rsidRPr="00B00C4A" w:rsidRDefault="008C6831" w:rsidP="00B4151F">
      <w:pPr>
        <w:pStyle w:val="Akapitzlist"/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PRZEPROWADZANY W DNIU 24 MAJA 2022 R.</w:t>
      </w:r>
    </w:p>
    <w:p w:rsidR="008C6831" w:rsidRPr="00B00C4A" w:rsidRDefault="008C6831" w:rsidP="00B4151F">
      <w:pPr>
        <w:pStyle w:val="Akapitzlist"/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(Kd</w:t>
      </w:r>
      <w:r w:rsidR="00833100" w:rsidRPr="00B00C4A">
        <w:rPr>
          <w:b/>
          <w:sz w:val="24"/>
          <w:szCs w:val="24"/>
        </w:rPr>
        <w:t>.</w:t>
      </w:r>
      <w:r w:rsidRPr="00B00C4A">
        <w:rPr>
          <w:b/>
          <w:sz w:val="24"/>
          <w:szCs w:val="24"/>
        </w:rPr>
        <w:t>1120-3/22)</w:t>
      </w: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Podstawowa norma czasu pracy na dobę to:</w:t>
      </w:r>
    </w:p>
    <w:p w:rsidR="008C6831" w:rsidRPr="00B00C4A" w:rsidRDefault="008C6831" w:rsidP="00B4151F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10 godzin</w:t>
      </w:r>
      <w:r w:rsidR="00992F61">
        <w:rPr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2"/>
        </w:numPr>
        <w:spacing w:line="360" w:lineRule="auto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8 godzin</w:t>
      </w:r>
      <w:r w:rsidR="00992F61">
        <w:rPr>
          <w:b/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6 godzin.</w:t>
      </w:r>
    </w:p>
    <w:p w:rsidR="008C6831" w:rsidRPr="00B00C4A" w:rsidRDefault="008C6831" w:rsidP="00B4151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Umowa o pracę na okres próbny może być zawarta maksymalnie na okres do:</w:t>
      </w:r>
    </w:p>
    <w:p w:rsidR="008C6831" w:rsidRPr="00B00C4A" w:rsidRDefault="008C6831" w:rsidP="00B4151F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2 tygodni</w:t>
      </w:r>
      <w:r w:rsidR="00992F61">
        <w:rPr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1 miesiąca</w:t>
      </w:r>
      <w:r w:rsidR="00992F61">
        <w:rPr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3"/>
        </w:numPr>
        <w:spacing w:line="360" w:lineRule="auto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3 miesięcy.</w:t>
      </w:r>
    </w:p>
    <w:p w:rsidR="008C6831" w:rsidRPr="00B00C4A" w:rsidRDefault="008C6831" w:rsidP="00B4151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Oświadczenie każdej ze stron o wypowiedzeniu lub rozwiązaniu umowy o pracę bez wypowiedzenia powinno nastąpić:</w:t>
      </w:r>
    </w:p>
    <w:p w:rsidR="008C6831" w:rsidRPr="00B00C4A" w:rsidRDefault="00992F61" w:rsidP="00B4151F">
      <w:pPr>
        <w:pStyle w:val="Akapitzlist"/>
        <w:numPr>
          <w:ilvl w:val="0"/>
          <w:numId w:val="1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="008C6831" w:rsidRPr="00B00C4A">
        <w:rPr>
          <w:sz w:val="24"/>
          <w:szCs w:val="24"/>
        </w:rPr>
        <w:t>stnie</w:t>
      </w:r>
      <w:r>
        <w:rPr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10"/>
        </w:numPr>
        <w:spacing w:line="360" w:lineRule="auto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na piśmie</w:t>
      </w:r>
      <w:r w:rsidR="00992F61">
        <w:rPr>
          <w:b/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w dowolny sposób.</w:t>
      </w:r>
    </w:p>
    <w:p w:rsidR="008C6831" w:rsidRPr="00B00C4A" w:rsidRDefault="008C6831" w:rsidP="00B4151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00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W okresie wypowiedzenia umowy o pracę dokonanego przez pracownika - pracownikowi przysługuje zwolnienie na poszukiwanie pracy, z zachowaniem prawa do wynagrodzenia w wymiarze:</w:t>
      </w:r>
    </w:p>
    <w:p w:rsidR="008C6831" w:rsidRPr="00B00C4A" w:rsidRDefault="008C6831" w:rsidP="00B4151F">
      <w:pPr>
        <w:pStyle w:val="Akapitzlist"/>
        <w:spacing w:line="360" w:lineRule="auto"/>
        <w:ind w:hanging="294"/>
        <w:rPr>
          <w:sz w:val="24"/>
          <w:szCs w:val="24"/>
        </w:rPr>
      </w:pPr>
      <w:r w:rsidRPr="00B00C4A">
        <w:rPr>
          <w:sz w:val="24"/>
          <w:szCs w:val="24"/>
        </w:rPr>
        <w:t>a) 2 dni roboczych</w:t>
      </w:r>
      <w:r w:rsidR="00992F61">
        <w:rPr>
          <w:sz w:val="24"/>
          <w:szCs w:val="24"/>
        </w:rPr>
        <w:t>,</w:t>
      </w:r>
      <w:r w:rsidRPr="00B00C4A">
        <w:rPr>
          <w:sz w:val="24"/>
          <w:szCs w:val="24"/>
        </w:rPr>
        <w:t xml:space="preserve"> </w:t>
      </w:r>
    </w:p>
    <w:p w:rsidR="008C6831" w:rsidRPr="00B00C4A" w:rsidRDefault="008C6831" w:rsidP="00B4151F">
      <w:pPr>
        <w:pStyle w:val="Akapitzlist"/>
        <w:spacing w:line="360" w:lineRule="auto"/>
        <w:ind w:hanging="294"/>
        <w:rPr>
          <w:sz w:val="24"/>
          <w:szCs w:val="24"/>
        </w:rPr>
      </w:pPr>
      <w:r w:rsidRPr="00B00C4A">
        <w:rPr>
          <w:sz w:val="24"/>
          <w:szCs w:val="24"/>
        </w:rPr>
        <w:t>b) 3 dni roboczych</w:t>
      </w:r>
      <w:r w:rsidR="00992F61">
        <w:rPr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spacing w:line="360" w:lineRule="auto"/>
        <w:ind w:hanging="294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c) takie zwolnienie nie przysługuje.</w:t>
      </w:r>
    </w:p>
    <w:p w:rsidR="008C6831" w:rsidRPr="00B00C4A" w:rsidRDefault="008C6831" w:rsidP="00B4151F">
      <w:pPr>
        <w:pStyle w:val="Akapitzlist"/>
        <w:spacing w:line="360" w:lineRule="auto"/>
        <w:rPr>
          <w:sz w:val="24"/>
          <w:szCs w:val="24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Pracodawca może w przypadkach uzasadnionych jego potrzebami, jeżeli nie powoduje to obniżenia wynagrodzenia i odpowiada kwalifikacjom pracownika, powierzyć pracownikowi inną pracę niż określona w umowie o pracę na okres nieprzekraczający w roku kalendarzowym:</w:t>
      </w:r>
    </w:p>
    <w:p w:rsidR="008C6831" w:rsidRPr="00B00C4A" w:rsidRDefault="008C6831" w:rsidP="00B4151F">
      <w:pPr>
        <w:pStyle w:val="Akapitzlist"/>
        <w:numPr>
          <w:ilvl w:val="0"/>
          <w:numId w:val="12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2 miesięcy</w:t>
      </w:r>
      <w:r w:rsidR="00992F61">
        <w:rPr>
          <w:sz w:val="24"/>
          <w:szCs w:val="24"/>
        </w:rPr>
        <w:t>,</w:t>
      </w:r>
      <w:r w:rsidRPr="00B00C4A">
        <w:rPr>
          <w:sz w:val="24"/>
          <w:szCs w:val="24"/>
        </w:rPr>
        <w:t xml:space="preserve"> </w:t>
      </w:r>
    </w:p>
    <w:p w:rsidR="008C6831" w:rsidRPr="00B00C4A" w:rsidRDefault="008C6831" w:rsidP="00B4151F">
      <w:pPr>
        <w:pStyle w:val="Akapitzlist"/>
        <w:numPr>
          <w:ilvl w:val="0"/>
          <w:numId w:val="12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3 miesięcy</w:t>
      </w:r>
      <w:r w:rsidR="00992F61">
        <w:rPr>
          <w:b/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12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 xml:space="preserve">4 miesięcy. </w:t>
      </w:r>
    </w:p>
    <w:p w:rsidR="008C6831" w:rsidRDefault="008C6831" w:rsidP="00B4151F">
      <w:pPr>
        <w:pStyle w:val="Akapitzlist"/>
        <w:spacing w:line="360" w:lineRule="auto"/>
        <w:rPr>
          <w:sz w:val="24"/>
          <w:szCs w:val="24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lastRenderedPageBreak/>
        <w:t>Aktualnie wiek emerytalny dla osób urodzonych po dniu 31 grudnia 1948 r. to:</w:t>
      </w:r>
    </w:p>
    <w:p w:rsidR="008C6831" w:rsidRPr="00B00C4A" w:rsidRDefault="008C6831" w:rsidP="00B4151F">
      <w:pPr>
        <w:pStyle w:val="Akapitzlist"/>
        <w:numPr>
          <w:ilvl w:val="0"/>
          <w:numId w:val="4"/>
        </w:numPr>
        <w:spacing w:line="360" w:lineRule="auto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60 lat dla kobiet i 65 lat dla mężczyzn</w:t>
      </w:r>
      <w:r w:rsidR="00992F61">
        <w:rPr>
          <w:b/>
          <w:sz w:val="24"/>
          <w:szCs w:val="24"/>
        </w:rPr>
        <w:t>,</w:t>
      </w:r>
      <w:r w:rsidRPr="00B00C4A">
        <w:rPr>
          <w:b/>
          <w:sz w:val="24"/>
          <w:szCs w:val="24"/>
        </w:rPr>
        <w:t xml:space="preserve"> </w:t>
      </w:r>
    </w:p>
    <w:p w:rsidR="008C6831" w:rsidRPr="00B00C4A" w:rsidRDefault="008C6831" w:rsidP="00B4151F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67 lat dla kobiet i dla mężczyzn</w:t>
      </w:r>
      <w:r w:rsidR="00992F61">
        <w:rPr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62 lata dla kobiet i 67 lat dla mężczyzn.</w:t>
      </w:r>
    </w:p>
    <w:p w:rsidR="003A1E82" w:rsidRPr="00B00C4A" w:rsidRDefault="003A1E82" w:rsidP="00B4151F">
      <w:pPr>
        <w:spacing w:after="0" w:line="276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jc w:val="left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Osoba, która utraciła zdolność do wykonywania jakiejkolwiek pracy – to osoba:</w:t>
      </w:r>
    </w:p>
    <w:p w:rsidR="008C6831" w:rsidRPr="00B00C4A" w:rsidRDefault="008C6831" w:rsidP="00B4151F">
      <w:pPr>
        <w:pStyle w:val="Akapitzlist"/>
        <w:numPr>
          <w:ilvl w:val="0"/>
          <w:numId w:val="11"/>
        </w:numPr>
        <w:spacing w:line="360" w:lineRule="auto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częściowo niezdolna do pracy</w:t>
      </w:r>
      <w:r w:rsidR="00992F61">
        <w:rPr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11"/>
        </w:numPr>
        <w:spacing w:line="360" w:lineRule="auto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całkowicie niezdolna do pracy</w:t>
      </w:r>
      <w:r w:rsidR="00992F61">
        <w:rPr>
          <w:b/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11"/>
        </w:numPr>
        <w:spacing w:line="360" w:lineRule="auto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niezdolna do samodzielnej egzystencji.</w:t>
      </w:r>
    </w:p>
    <w:p w:rsidR="008C6831" w:rsidRPr="00B00C4A" w:rsidRDefault="008C6831" w:rsidP="00B4151F">
      <w:pPr>
        <w:spacing w:after="0" w:line="276" w:lineRule="auto"/>
        <w:jc w:val="center"/>
        <w:rPr>
          <w:lang w:eastAsia="en-US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Osoba, która została uznana za częściowo długotrwale lub trwale niezdolną do pracy ma prawo do:</w:t>
      </w:r>
    </w:p>
    <w:p w:rsidR="008C6831" w:rsidRPr="00B00C4A" w:rsidRDefault="008C6831" w:rsidP="00B4151F">
      <w:pPr>
        <w:pStyle w:val="Akapitzlist"/>
        <w:numPr>
          <w:ilvl w:val="0"/>
          <w:numId w:val="5"/>
        </w:numPr>
        <w:spacing w:line="360" w:lineRule="auto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renty z tytułu niezdolności do pracy</w:t>
      </w:r>
      <w:r w:rsidR="00992F61">
        <w:rPr>
          <w:b/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renty rodzinnej</w:t>
      </w:r>
      <w:r w:rsidR="00992F61">
        <w:rPr>
          <w:sz w:val="24"/>
          <w:szCs w:val="24"/>
        </w:rPr>
        <w:t>,</w:t>
      </w:r>
      <w:r w:rsidRPr="00B00C4A">
        <w:rPr>
          <w:sz w:val="24"/>
          <w:szCs w:val="24"/>
        </w:rPr>
        <w:t xml:space="preserve"> </w:t>
      </w:r>
    </w:p>
    <w:p w:rsidR="008C6831" w:rsidRPr="00B00C4A" w:rsidRDefault="008C6831" w:rsidP="00B4151F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B00C4A">
        <w:rPr>
          <w:sz w:val="24"/>
          <w:szCs w:val="24"/>
        </w:rPr>
        <w:t>emerytury.</w:t>
      </w:r>
    </w:p>
    <w:p w:rsidR="008C6831" w:rsidRPr="00B00C4A" w:rsidRDefault="008C6831" w:rsidP="00B4151F">
      <w:pPr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Skarga kasacyjna jest niedopuszczalna w sprawach o prawa majątkowe w sprawach z zakresu prawa pracy i ubezpieczeń społecznych, w których wartość przedmiotu zaskarżenia jest niższa niż:</w:t>
      </w:r>
    </w:p>
    <w:p w:rsidR="008C6831" w:rsidRPr="00B00C4A" w:rsidRDefault="008C6831" w:rsidP="00B4151F">
      <w:pPr>
        <w:pStyle w:val="Akapitzlist"/>
        <w:numPr>
          <w:ilvl w:val="0"/>
          <w:numId w:val="9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 xml:space="preserve">pięćdziesiąt tysięcy złotych, </w:t>
      </w:r>
    </w:p>
    <w:p w:rsidR="008C6831" w:rsidRPr="00B00C4A" w:rsidRDefault="008C6831" w:rsidP="00B4151F">
      <w:pPr>
        <w:pStyle w:val="Akapitzlist"/>
        <w:numPr>
          <w:ilvl w:val="0"/>
          <w:numId w:val="9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dziesięć tysięcy złotych,</w:t>
      </w:r>
    </w:p>
    <w:p w:rsidR="008C6831" w:rsidRPr="00B00C4A" w:rsidRDefault="008C6831" w:rsidP="00B4151F">
      <w:pPr>
        <w:pStyle w:val="Akapitzlist"/>
        <w:numPr>
          <w:ilvl w:val="0"/>
          <w:numId w:val="9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wartość przedmiotu zaskarżenia nie ma znaczenia.</w:t>
      </w:r>
    </w:p>
    <w:p w:rsidR="008C6831" w:rsidRPr="00B00C4A" w:rsidRDefault="008C6831" w:rsidP="00B4151F">
      <w:pPr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b/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Zasądzając należność pracownika w sprawach z zakresu prawa pracy, sąd z urzędu nada wyrokowi przy jego wydaniu rygor natychmiastowej wykonalności w części nieprzekraczającej:</w:t>
      </w:r>
    </w:p>
    <w:p w:rsidR="008C6831" w:rsidRPr="00B00C4A" w:rsidRDefault="008C6831" w:rsidP="00B4151F">
      <w:pPr>
        <w:pStyle w:val="Akapitzlist"/>
        <w:numPr>
          <w:ilvl w:val="0"/>
          <w:numId w:val="8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dwutygodniowego wynagrodzenia pracownika</w:t>
      </w:r>
      <w:r w:rsidR="00D11FED">
        <w:rPr>
          <w:sz w:val="24"/>
          <w:szCs w:val="24"/>
        </w:rPr>
        <w:t>,</w:t>
      </w:r>
    </w:p>
    <w:p w:rsidR="008C6831" w:rsidRPr="00207364" w:rsidRDefault="008C6831" w:rsidP="00B4151F">
      <w:pPr>
        <w:pStyle w:val="Akapitzlist"/>
        <w:numPr>
          <w:ilvl w:val="0"/>
          <w:numId w:val="8"/>
        </w:numPr>
        <w:spacing w:line="360" w:lineRule="auto"/>
        <w:ind w:left="720"/>
        <w:rPr>
          <w:b/>
          <w:sz w:val="24"/>
          <w:szCs w:val="24"/>
        </w:rPr>
      </w:pPr>
      <w:r w:rsidRPr="00207364">
        <w:rPr>
          <w:b/>
          <w:sz w:val="24"/>
          <w:szCs w:val="24"/>
        </w:rPr>
        <w:t>pełnego jednomiesięcznego wynagrodzenia pracownika</w:t>
      </w:r>
      <w:r w:rsidR="00D11FED" w:rsidRPr="00207364">
        <w:rPr>
          <w:b/>
          <w:sz w:val="24"/>
          <w:szCs w:val="24"/>
        </w:rPr>
        <w:t>,</w:t>
      </w:r>
    </w:p>
    <w:p w:rsidR="008C6831" w:rsidRPr="00B00C4A" w:rsidRDefault="008C6831" w:rsidP="00B4151F">
      <w:pPr>
        <w:pStyle w:val="Akapitzlist"/>
        <w:numPr>
          <w:ilvl w:val="0"/>
          <w:numId w:val="8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ekwiwalentu za roczny urlop wypoczynkowy pracownika.</w:t>
      </w:r>
    </w:p>
    <w:p w:rsidR="008C6831" w:rsidRPr="00B00C4A" w:rsidRDefault="008C6831" w:rsidP="00B4151F">
      <w:pPr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Odwołania od decyzji organów rentowych wnosi się na piśmie do organu, który wydał decyzję lub do protokołu sporządzonego przez ten organ w terminie:</w:t>
      </w:r>
    </w:p>
    <w:p w:rsidR="008C6831" w:rsidRPr="00B00C4A" w:rsidRDefault="00D11FED" w:rsidP="00B4151F">
      <w:pPr>
        <w:pStyle w:val="Akapitzlist"/>
        <w:numPr>
          <w:ilvl w:val="0"/>
          <w:numId w:val="6"/>
        </w:numPr>
        <w:spacing w:line="360" w:lineRule="auto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8C6831" w:rsidRPr="00B00C4A">
        <w:rPr>
          <w:b/>
          <w:sz w:val="24"/>
          <w:szCs w:val="24"/>
        </w:rPr>
        <w:t>iesiąca</w:t>
      </w:r>
      <w:r>
        <w:rPr>
          <w:b/>
          <w:sz w:val="24"/>
          <w:szCs w:val="24"/>
        </w:rPr>
        <w:t>,</w:t>
      </w:r>
      <w:r w:rsidR="008C6831" w:rsidRPr="00B00C4A">
        <w:rPr>
          <w:b/>
          <w:sz w:val="24"/>
          <w:szCs w:val="24"/>
        </w:rPr>
        <w:t xml:space="preserve"> </w:t>
      </w:r>
    </w:p>
    <w:p w:rsidR="008C6831" w:rsidRPr="00B00C4A" w:rsidRDefault="008C6831" w:rsidP="00B4151F">
      <w:pPr>
        <w:pStyle w:val="Akapitzlist"/>
        <w:numPr>
          <w:ilvl w:val="0"/>
          <w:numId w:val="6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trzech tygodni</w:t>
      </w:r>
      <w:r w:rsidR="00D11FED">
        <w:rPr>
          <w:sz w:val="24"/>
          <w:szCs w:val="24"/>
        </w:rPr>
        <w:t>,</w:t>
      </w:r>
      <w:r w:rsidRPr="00B00C4A">
        <w:rPr>
          <w:sz w:val="24"/>
          <w:szCs w:val="24"/>
        </w:rPr>
        <w:t xml:space="preserve"> </w:t>
      </w:r>
    </w:p>
    <w:p w:rsidR="008C6831" w:rsidRPr="00B00C4A" w:rsidRDefault="008C6831" w:rsidP="00B4151F">
      <w:pPr>
        <w:pStyle w:val="Akapitzlist"/>
        <w:numPr>
          <w:ilvl w:val="0"/>
          <w:numId w:val="6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dwóch tygodni</w:t>
      </w:r>
      <w:r w:rsidR="00D11FED">
        <w:rPr>
          <w:sz w:val="24"/>
          <w:szCs w:val="24"/>
        </w:rPr>
        <w:t>,</w:t>
      </w:r>
      <w:r w:rsidRPr="00B00C4A">
        <w:rPr>
          <w:sz w:val="24"/>
          <w:szCs w:val="24"/>
        </w:rPr>
        <w:t xml:space="preserve"> </w:t>
      </w:r>
    </w:p>
    <w:p w:rsidR="008C6831" w:rsidRPr="00B00C4A" w:rsidRDefault="008C6831" w:rsidP="00B4151F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00C4A">
        <w:rPr>
          <w:rFonts w:ascii="Times New Roman" w:hAnsi="Times New Roman" w:cs="Times New Roman"/>
          <w:sz w:val="24"/>
          <w:szCs w:val="24"/>
        </w:rPr>
        <w:t>od dnia doręczenia decyzji.</w:t>
      </w:r>
    </w:p>
    <w:p w:rsidR="008C6831" w:rsidRPr="00B00C4A" w:rsidRDefault="008C6831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lastRenderedPageBreak/>
        <w:t>Sąd ubezpieczeń społecznych odrzuci odwołanie wniesione po upływie terminu, chyba że przekroczenie terminu:</w:t>
      </w:r>
    </w:p>
    <w:p w:rsidR="008C6831" w:rsidRPr="00B00C4A" w:rsidRDefault="008C6831" w:rsidP="00B4151F">
      <w:pPr>
        <w:pStyle w:val="Akapitzlist"/>
        <w:numPr>
          <w:ilvl w:val="0"/>
          <w:numId w:val="7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nie jest nadmierne,</w:t>
      </w:r>
    </w:p>
    <w:p w:rsidR="008C6831" w:rsidRPr="00B00C4A" w:rsidRDefault="008C6831" w:rsidP="00B4151F">
      <w:pPr>
        <w:pStyle w:val="Akapitzlist"/>
        <w:numPr>
          <w:ilvl w:val="0"/>
          <w:numId w:val="7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nastąpiło z przyczyn niezależnych od odwołującego się,</w:t>
      </w:r>
    </w:p>
    <w:p w:rsidR="008C6831" w:rsidRPr="00B00C4A" w:rsidRDefault="008C6831" w:rsidP="00B4151F">
      <w:pPr>
        <w:pStyle w:val="Akapitzlist"/>
        <w:numPr>
          <w:ilvl w:val="0"/>
          <w:numId w:val="7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nie jest nadmierne i nastąpiło z przyczyn niezależnych od odwołującego się.</w:t>
      </w:r>
    </w:p>
    <w:p w:rsidR="00B00C4A" w:rsidRPr="00B00C4A" w:rsidRDefault="00B00C4A" w:rsidP="00B4151F">
      <w:pPr>
        <w:pStyle w:val="Akapitzlist"/>
        <w:spacing w:line="360" w:lineRule="auto"/>
        <w:rPr>
          <w:b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7"/>
        </w:numPr>
        <w:spacing w:line="360" w:lineRule="auto"/>
        <w:rPr>
          <w:vanish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karnego, w sprawach o zbrodnie, w których nie zachodzi szczególna zawiłość, na rozprawie sąd okręgowy orzeka w składzie: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jednego sędziego,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jednego sędziego i dwóch ławników,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trzech sędziów.</w:t>
      </w:r>
    </w:p>
    <w:p w:rsidR="00EF1183" w:rsidRPr="00B00C4A" w:rsidRDefault="00EF1183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karnym, sąd może warunkowo umorzyć postępowanie karne: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gdy czyn jest zagrożony karą do 3 lat pozbawienia wolności, a stopień społecznej szkodliwości nie jest znaczny,</w:t>
      </w:r>
    </w:p>
    <w:p w:rsid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gdy czyn zagrożony jest karą do 5 lat pozbawienia wolności, a stopień społecznej szkodliwości jest znikomy,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gdy czyn zagrożony jest karą do 5 lat pozbawienia wolności, a stopień społecznej szkodliwości nie jest znaczny.</w:t>
      </w:r>
    </w:p>
    <w:p w:rsidR="00EF1183" w:rsidRPr="00B00C4A" w:rsidRDefault="00EF1183" w:rsidP="00B4151F">
      <w:pPr>
        <w:pStyle w:val="Akapitzlist"/>
        <w:spacing w:line="360" w:lineRule="auto"/>
        <w:rPr>
          <w:b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karnego, przedłużenie tymczasowego aresztowania w toku postępowania przygotowawczego może dokonać: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tylko sąd właściwy do rozpoznania sprawy,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tylko sąd apelacyjny,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sąd właściwy do rozpoznania sprawy, gdy okres tymczasowego aresztowania przekracza rok, a nie przekracza 2 lat, zaś powyżej 2 lat – tylko sąd apelacyjny.</w:t>
      </w:r>
    </w:p>
    <w:p w:rsidR="00EF1183" w:rsidRPr="00B00C4A" w:rsidRDefault="00EF1183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karnego, w przypadku, gdy sąd okręgowy rozpozna sprawę należącą do właściwości rzeczowej sądu rejonowego, uchybienie to stanowi: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względną przyczynę odwoławczą,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bezwzględną przyczynę odwoławczą,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sąd okręgowy zawsze może rozpoznać sprawę należącą do właściwości sądu niższej instancji.</w:t>
      </w:r>
    </w:p>
    <w:p w:rsidR="003A1E82" w:rsidRPr="00B00C4A" w:rsidRDefault="003A1E82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lastRenderedPageBreak/>
        <w:t>Zgodnie z Kodeksem postępowania karnego, w pierwszej instancji w sprawach o zbrodnie właściwy jest: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zawsze sąd okręgowy,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sąd okręgowy jest właściwy tylko w sprawach o zbrodnie określone w Kodeksie karnym,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sąd okręgowy jest właściwy, ale tylko w przypadku zbrodni zagrożonych karą 25 lat pozbawienia wolności albo dożywotniego pozbawienia wolności.</w:t>
      </w:r>
    </w:p>
    <w:p w:rsidR="00B00C4A" w:rsidRPr="00B00C4A" w:rsidRDefault="00B00C4A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karnym, terminowa kara pozbawienia wolności może zostać orzeczona w wymiarze: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do 15 lat,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do 25 lat,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do 20 lat.</w:t>
      </w:r>
    </w:p>
    <w:p w:rsidR="00EF1183" w:rsidRPr="00B00C4A" w:rsidRDefault="00EF1183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Według Kodeksu karnego usiłowanie jest: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zawsze karalne,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karalne, gdy ustawa tak stanowi,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zawsze karalne, ale sąd może w każdym przypadku zastosować nadzwyczajne złagodzenie kary.</w:t>
      </w:r>
    </w:p>
    <w:p w:rsidR="00EF1183" w:rsidRPr="00B00C4A" w:rsidRDefault="00EF1183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karnego, w sprawie zawiłej albo z innych ważnych powodów, sąd może odroczyć wydanie wyroku na czas nie przekraczający: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7 dni,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14 dni,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21 dni.</w:t>
      </w:r>
    </w:p>
    <w:p w:rsidR="00EF1183" w:rsidRPr="00B00C4A" w:rsidRDefault="00EF1183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karnego, apelację od wyroku orzekającego karę 25 lat pozbawienia wolności, w której prokurator domaga się podwyższenia kary do dożywotniego pozbawienia wolności sąd rozpoznaje w składzie: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trzech sędziów,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pięciu sędziów,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siedmiu sędziów.</w:t>
      </w:r>
    </w:p>
    <w:p w:rsidR="00EF1183" w:rsidRDefault="00EF1183" w:rsidP="00B4151F">
      <w:pPr>
        <w:pStyle w:val="Akapitzlist"/>
        <w:spacing w:line="360" w:lineRule="auto"/>
        <w:rPr>
          <w:sz w:val="24"/>
          <w:szCs w:val="24"/>
        </w:rPr>
      </w:pPr>
    </w:p>
    <w:p w:rsidR="00992F61" w:rsidRPr="00B00C4A" w:rsidRDefault="00992F61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lastRenderedPageBreak/>
        <w:t>Zgodnie z Kodeksem postępowania karnego, terminy do wnoszenia środków zaskarżenia są: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prekluzyjne,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instrukcyjne,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zawite.</w:t>
      </w:r>
    </w:p>
    <w:p w:rsidR="00EF1183" w:rsidRPr="00B00C4A" w:rsidRDefault="00EF1183" w:rsidP="00B4151F">
      <w:pPr>
        <w:pStyle w:val="Akapitzlist"/>
        <w:spacing w:line="360" w:lineRule="auto"/>
        <w:rPr>
          <w:b/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karnym wykonawczym, wykonywanie kary pozbawienia wolności z zastosowaniem systemu dozoru elektronicznego jest możliwe: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gdy kara pozbawienia wolności nie przekracza 12 miesięcy,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gdy kara pozbawienia wolności nie przekracza 18 miesięcy,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gdy kara pozbawienia wolności nie przekracza 24 miesięcy.</w:t>
      </w:r>
    </w:p>
    <w:p w:rsidR="00871253" w:rsidRPr="00B00C4A" w:rsidRDefault="00871253" w:rsidP="00B4151F">
      <w:pPr>
        <w:pStyle w:val="Akapitzlist"/>
        <w:spacing w:line="360" w:lineRule="auto"/>
        <w:rPr>
          <w:sz w:val="24"/>
          <w:szCs w:val="24"/>
        </w:rPr>
      </w:pPr>
    </w:p>
    <w:p w:rsidR="00EF1183" w:rsidRPr="00B00C4A" w:rsidRDefault="00EF1183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karnego, na wydane w toku postępowania odwoławczego postanowienie sądu apelacyjnego przedłużające tymczasowe aresztowanie: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zażalenie nie przysługuje,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sz w:val="24"/>
          <w:szCs w:val="24"/>
        </w:rPr>
      </w:pPr>
      <w:r w:rsidRPr="00B00C4A">
        <w:rPr>
          <w:sz w:val="24"/>
          <w:szCs w:val="24"/>
        </w:rPr>
        <w:t>zażaleni</w:t>
      </w:r>
      <w:bookmarkStart w:id="0" w:name="_GoBack"/>
      <w:bookmarkEnd w:id="0"/>
      <w:r w:rsidRPr="00B00C4A">
        <w:rPr>
          <w:sz w:val="24"/>
          <w:szCs w:val="24"/>
        </w:rPr>
        <w:t>e przysługuje do Sądu Najwyższego,</w:t>
      </w:r>
    </w:p>
    <w:p w:rsidR="00EF1183" w:rsidRPr="00B00C4A" w:rsidRDefault="00EF1183" w:rsidP="00B4151F">
      <w:pPr>
        <w:pStyle w:val="Akapitzlist"/>
        <w:numPr>
          <w:ilvl w:val="1"/>
          <w:numId w:val="1"/>
        </w:numPr>
        <w:spacing w:line="360" w:lineRule="auto"/>
        <w:ind w:left="720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zażalenie przysługuje do innego składu sądu apelacyjnego.</w:t>
      </w:r>
    </w:p>
    <w:p w:rsidR="003A1E82" w:rsidRPr="00B00C4A" w:rsidRDefault="003A1E82" w:rsidP="00B4151F">
      <w:pPr>
        <w:pStyle w:val="Akapitzlist"/>
        <w:spacing w:line="360" w:lineRule="auto"/>
        <w:rPr>
          <w:b/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cywilnym domniemanie dobrej wiary jest domniemaniem:</w:t>
      </w:r>
    </w:p>
    <w:p w:rsidR="00A54B50" w:rsidRPr="00B00C4A" w:rsidRDefault="00D11FED" w:rsidP="00B4151F">
      <w:pPr>
        <w:pStyle w:val="Akapitzlist"/>
        <w:numPr>
          <w:ilvl w:val="0"/>
          <w:numId w:val="15"/>
        </w:numPr>
        <w:spacing w:line="360" w:lineRule="auto"/>
        <w:ind w:left="709" w:hanging="283"/>
        <w:jc w:val="left"/>
        <w:rPr>
          <w:sz w:val="24"/>
          <w:szCs w:val="24"/>
        </w:rPr>
      </w:pPr>
      <w:r>
        <w:rPr>
          <w:sz w:val="24"/>
          <w:szCs w:val="24"/>
        </w:rPr>
        <w:t>f</w:t>
      </w:r>
      <w:r w:rsidR="00A54B50" w:rsidRPr="00B00C4A">
        <w:rPr>
          <w:sz w:val="24"/>
          <w:szCs w:val="24"/>
        </w:rPr>
        <w:t>aktycznym</w:t>
      </w:r>
      <w:r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15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prawnym</w:t>
      </w:r>
      <w:r w:rsidR="00D11FED">
        <w:rPr>
          <w:b/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15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w zależności od okoliczności jednym z nich</w:t>
      </w:r>
      <w:r w:rsidR="00D11FED">
        <w:rPr>
          <w:sz w:val="24"/>
          <w:szCs w:val="24"/>
        </w:rPr>
        <w:t>.</w:t>
      </w:r>
    </w:p>
    <w:p w:rsidR="00F71130" w:rsidRPr="00B00C4A" w:rsidRDefault="00F71130" w:rsidP="00B4151F">
      <w:pPr>
        <w:pStyle w:val="Akapitzlist"/>
        <w:spacing w:line="360" w:lineRule="auto"/>
        <w:ind w:left="709"/>
        <w:jc w:val="left"/>
        <w:rPr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cywilnym nie mają zdolności do czynności prawnych osoby:</w:t>
      </w:r>
    </w:p>
    <w:p w:rsidR="00A54B50" w:rsidRPr="00B00C4A" w:rsidRDefault="00A54B50" w:rsidP="00B4151F">
      <w:pPr>
        <w:pStyle w:val="Akapitzlist"/>
        <w:numPr>
          <w:ilvl w:val="0"/>
          <w:numId w:val="16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 xml:space="preserve">które nie ukończyły lat trzynastu, </w:t>
      </w:r>
    </w:p>
    <w:p w:rsidR="00A54B50" w:rsidRPr="00B00C4A" w:rsidRDefault="00A54B50" w:rsidP="00B4151F">
      <w:pPr>
        <w:pStyle w:val="Akapitzlist"/>
        <w:numPr>
          <w:ilvl w:val="0"/>
          <w:numId w:val="16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ubezwłasnowolnione częściowo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16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które nie ukończyły lat osiemnastu</w:t>
      </w:r>
      <w:r w:rsidR="00D11FED">
        <w:rPr>
          <w:sz w:val="24"/>
          <w:szCs w:val="24"/>
        </w:rPr>
        <w:t>.</w:t>
      </w:r>
      <w:r w:rsidRPr="00B00C4A">
        <w:rPr>
          <w:sz w:val="24"/>
          <w:szCs w:val="24"/>
        </w:rPr>
        <w:t xml:space="preserve"> </w:t>
      </w:r>
    </w:p>
    <w:p w:rsidR="00F71130" w:rsidRPr="00B00C4A" w:rsidRDefault="00F71130" w:rsidP="00B4151F">
      <w:pPr>
        <w:pStyle w:val="Akapitzlist"/>
        <w:spacing w:line="360" w:lineRule="auto"/>
        <w:ind w:left="709"/>
        <w:jc w:val="left"/>
        <w:rPr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 xml:space="preserve">Zgodnie z Kodeksem cywilnym </w:t>
      </w:r>
      <w:r w:rsidRPr="00B00C4A">
        <w:rPr>
          <w:rStyle w:val="alb-s"/>
          <w:color w:val="0070C0"/>
          <w:sz w:val="24"/>
          <w:szCs w:val="24"/>
        </w:rPr>
        <w:t xml:space="preserve">kurator osoby prawnej </w:t>
      </w:r>
      <w:r w:rsidRPr="00B00C4A">
        <w:rPr>
          <w:color w:val="0070C0"/>
          <w:sz w:val="24"/>
          <w:szCs w:val="24"/>
        </w:rPr>
        <w:t>niezwłocznie podejmuje czynności zmierzające do:</w:t>
      </w:r>
    </w:p>
    <w:p w:rsidR="00A54B50" w:rsidRPr="00B00C4A" w:rsidRDefault="00A54B50" w:rsidP="00B4151F">
      <w:pPr>
        <w:pStyle w:val="Akapitzlist"/>
        <w:numPr>
          <w:ilvl w:val="0"/>
          <w:numId w:val="17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zakończenia trwających z jej udziałem  postępowań cywilnych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17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dokonania czynności prawnych związanych z majątkiem osoby prawnej</w:t>
      </w:r>
      <w:r w:rsidR="00D11FED">
        <w:rPr>
          <w:sz w:val="24"/>
          <w:szCs w:val="24"/>
        </w:rPr>
        <w:t>,</w:t>
      </w:r>
      <w:r w:rsidRPr="00B00C4A">
        <w:rPr>
          <w:sz w:val="24"/>
          <w:szCs w:val="24"/>
        </w:rPr>
        <w:t xml:space="preserve"> </w:t>
      </w:r>
    </w:p>
    <w:p w:rsidR="00A54B50" w:rsidRPr="00B00C4A" w:rsidRDefault="00A54B50" w:rsidP="00B4151F">
      <w:pPr>
        <w:pStyle w:val="Akapitzlist"/>
        <w:numPr>
          <w:ilvl w:val="0"/>
          <w:numId w:val="17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powołania albo uzupełnienia składu organu osoby prawnej uprawnionego do jej reprezentowania</w:t>
      </w:r>
      <w:r w:rsidR="00D11FED">
        <w:rPr>
          <w:b/>
          <w:sz w:val="24"/>
          <w:szCs w:val="24"/>
        </w:rPr>
        <w:t>.</w:t>
      </w: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b/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lastRenderedPageBreak/>
        <w:t>Zgodnie z Kodeksem cywilnym  jeżeli ustawa zastrzega dla czynności prawnej formę pisemną, dokumentową albo elektroniczną, czynność dokonana bez zachowania zastrzeżonej formy jest nieważna wtedy, gdy:</w:t>
      </w:r>
    </w:p>
    <w:p w:rsidR="00A54B50" w:rsidRPr="00B00C4A" w:rsidRDefault="00A54B50" w:rsidP="00B4151F">
      <w:pPr>
        <w:pStyle w:val="Akapitzlist"/>
        <w:numPr>
          <w:ilvl w:val="0"/>
          <w:numId w:val="18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strony zgodnie tak postanowią w umowie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18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gdy jedna ze stron podniesie zarzut nieważności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18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 xml:space="preserve">gdy </w:t>
      </w:r>
      <w:hyperlink r:id="rId7" w:anchor="/search-hypertext/16785996_art(73)_1?pit=2022-05-19" w:history="1">
        <w:r w:rsidRPr="00B00C4A">
          <w:rPr>
            <w:rStyle w:val="Hipercze"/>
            <w:b/>
            <w:color w:val="auto"/>
            <w:sz w:val="24"/>
            <w:szCs w:val="24"/>
            <w:u w:val="none"/>
          </w:rPr>
          <w:t>ustawa</w:t>
        </w:r>
      </w:hyperlink>
      <w:r w:rsidRPr="00B00C4A">
        <w:rPr>
          <w:b/>
          <w:sz w:val="24"/>
          <w:szCs w:val="24"/>
        </w:rPr>
        <w:t xml:space="preserve"> przewiduje rygor nieważności.</w:t>
      </w:r>
    </w:p>
    <w:p w:rsidR="00F71130" w:rsidRPr="00B00C4A" w:rsidRDefault="00F71130" w:rsidP="00992F61">
      <w:pPr>
        <w:pStyle w:val="Akapitzlist"/>
        <w:ind w:left="709"/>
        <w:jc w:val="left"/>
        <w:rPr>
          <w:b/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cywilnym  prokury może udzielić:</w:t>
      </w:r>
    </w:p>
    <w:p w:rsidR="00A54B50" w:rsidRPr="00B00C4A" w:rsidRDefault="00A54B50" w:rsidP="00B4151F">
      <w:pPr>
        <w:pStyle w:val="Akapitzlist"/>
        <w:numPr>
          <w:ilvl w:val="0"/>
          <w:numId w:val="19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spółka cywilna w zakresie prowadzonej przez siebie działalności gospodarczej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19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każda osoba fizyczna i prawna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19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przedsiębiorca wpisany do CEIDG</w:t>
      </w:r>
      <w:r w:rsidR="00D11FED">
        <w:rPr>
          <w:b/>
          <w:sz w:val="24"/>
          <w:szCs w:val="24"/>
        </w:rPr>
        <w:t>.</w:t>
      </w:r>
      <w:r w:rsidRPr="00B00C4A">
        <w:rPr>
          <w:b/>
          <w:sz w:val="24"/>
          <w:szCs w:val="24"/>
        </w:rPr>
        <w:t xml:space="preserve"> </w:t>
      </w:r>
    </w:p>
    <w:p w:rsidR="003A1E82" w:rsidRPr="00B00C4A" w:rsidRDefault="003A1E82" w:rsidP="00992F61">
      <w:pPr>
        <w:pStyle w:val="Akapitzlist"/>
        <w:ind w:left="709"/>
        <w:jc w:val="left"/>
        <w:rPr>
          <w:b/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rStyle w:val="alb-s"/>
          <w:b/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cywilnym z</w:t>
      </w:r>
      <w:r w:rsidRPr="00B00C4A">
        <w:rPr>
          <w:rStyle w:val="alb-s"/>
          <w:color w:val="0070C0"/>
          <w:sz w:val="24"/>
          <w:szCs w:val="24"/>
        </w:rPr>
        <w:t>asiedzenie służebności gruntowej jest:</w:t>
      </w:r>
    </w:p>
    <w:p w:rsidR="00A54B50" w:rsidRPr="00B00C4A" w:rsidRDefault="00D11FED" w:rsidP="00B4151F">
      <w:pPr>
        <w:pStyle w:val="Akapitzlist"/>
        <w:numPr>
          <w:ilvl w:val="0"/>
          <w:numId w:val="20"/>
        </w:numPr>
        <w:spacing w:line="360" w:lineRule="auto"/>
        <w:ind w:left="709" w:hanging="283"/>
        <w:jc w:val="left"/>
        <w:rPr>
          <w:sz w:val="24"/>
          <w:szCs w:val="24"/>
        </w:rPr>
      </w:pPr>
      <w:r>
        <w:rPr>
          <w:sz w:val="24"/>
          <w:szCs w:val="24"/>
        </w:rPr>
        <w:t>n</w:t>
      </w:r>
      <w:r w:rsidR="00A54B50" w:rsidRPr="00B00C4A">
        <w:rPr>
          <w:sz w:val="24"/>
          <w:szCs w:val="24"/>
        </w:rPr>
        <w:t>iedopuszczalne</w:t>
      </w:r>
      <w:r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0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dopuszczalne, gdy następuje w dobrej wierze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0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dopuszczalne , gdy polega na korzystaniu z trwałego i widocznego urządzenia</w:t>
      </w:r>
      <w:r w:rsidRPr="00B00C4A">
        <w:rPr>
          <w:sz w:val="24"/>
          <w:szCs w:val="24"/>
        </w:rPr>
        <w:t>.</w:t>
      </w:r>
    </w:p>
    <w:p w:rsidR="00F71130" w:rsidRPr="00B00C4A" w:rsidRDefault="00F71130" w:rsidP="00992F61">
      <w:pPr>
        <w:pStyle w:val="Akapitzlist"/>
        <w:ind w:left="709"/>
        <w:jc w:val="left"/>
        <w:rPr>
          <w:b/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cywilnego roszczenia majątkowe wynikające z przestępstwa mogą być dochodzone:</w:t>
      </w:r>
    </w:p>
    <w:p w:rsidR="00A54B50" w:rsidRPr="00B00C4A" w:rsidRDefault="00A54B50" w:rsidP="00B4151F">
      <w:pPr>
        <w:pStyle w:val="Akapitzlist"/>
        <w:numPr>
          <w:ilvl w:val="0"/>
          <w:numId w:val="21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tylko w postępowaniu cywilnym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1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tylko w postępowaniu karnym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1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w postępowaniu cywilnym albo w wypadkach w ustawie przewidzianych w postępowaniu karnym</w:t>
      </w:r>
      <w:r w:rsidR="00D11FED">
        <w:rPr>
          <w:b/>
          <w:sz w:val="24"/>
          <w:szCs w:val="24"/>
        </w:rPr>
        <w:t>.</w:t>
      </w:r>
    </w:p>
    <w:p w:rsidR="00F71130" w:rsidRPr="00B00C4A" w:rsidRDefault="00F71130" w:rsidP="00992F61">
      <w:pPr>
        <w:pStyle w:val="Akapitzlist"/>
        <w:ind w:left="709"/>
        <w:jc w:val="left"/>
        <w:rPr>
          <w:b/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cywilnego do  właściwości sądów okręgowych należy:</w:t>
      </w:r>
    </w:p>
    <w:p w:rsidR="00A54B50" w:rsidRPr="00B00C4A" w:rsidRDefault="00A54B50" w:rsidP="00B4151F">
      <w:pPr>
        <w:pStyle w:val="Akapitzlist"/>
        <w:numPr>
          <w:ilvl w:val="0"/>
          <w:numId w:val="22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 xml:space="preserve"> każda sprawa o prawa majątkowe, w których wartość przedmiotu sporu przewyższa siedemdziesiąt pięć tysięcy złotych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2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 xml:space="preserve">każda sprawa o roszczenia wynikające z </w:t>
      </w:r>
      <w:hyperlink r:id="rId8" w:anchor="/document/16791474?cm=DOCUMENT" w:history="1">
        <w:r w:rsidRPr="00B00C4A">
          <w:rPr>
            <w:rStyle w:val="Hipercze"/>
            <w:b/>
            <w:color w:val="auto"/>
            <w:sz w:val="24"/>
            <w:szCs w:val="24"/>
            <w:u w:val="none"/>
          </w:rPr>
          <w:t>Prawa prasowego</w:t>
        </w:r>
      </w:hyperlink>
      <w:r w:rsidR="00D11FED">
        <w:rPr>
          <w:rStyle w:val="Hipercze"/>
          <w:b/>
          <w:color w:val="auto"/>
          <w:sz w:val="24"/>
          <w:szCs w:val="24"/>
          <w:u w:val="none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2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każda sprawa o uzgodnienie treści księgi wieczystej z rzeczywistym stanem prawnym</w:t>
      </w:r>
      <w:r w:rsidR="00D11FED">
        <w:rPr>
          <w:sz w:val="24"/>
          <w:szCs w:val="24"/>
        </w:rPr>
        <w:t>.</w:t>
      </w:r>
    </w:p>
    <w:p w:rsidR="00F71130" w:rsidRPr="00B00C4A" w:rsidRDefault="00F71130" w:rsidP="00B4151F">
      <w:pPr>
        <w:pStyle w:val="Akapitzlist"/>
        <w:spacing w:line="360" w:lineRule="auto"/>
        <w:ind w:left="709"/>
        <w:jc w:val="left"/>
        <w:rPr>
          <w:color w:val="0070C0"/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rStyle w:val="alb-s"/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cywilnego p</w:t>
      </w:r>
      <w:r w:rsidRPr="00B00C4A">
        <w:rPr>
          <w:rStyle w:val="alb-s"/>
          <w:color w:val="0070C0"/>
          <w:sz w:val="24"/>
          <w:szCs w:val="24"/>
        </w:rPr>
        <w:t>ełnomocnikiem  procesowym w postępowaniu cywilnym w każdej sprawie  może być:</w:t>
      </w:r>
    </w:p>
    <w:p w:rsidR="00A54B50" w:rsidRPr="00B00C4A" w:rsidRDefault="00A54B50" w:rsidP="00B4151F">
      <w:pPr>
        <w:pStyle w:val="Akapitzlist"/>
        <w:numPr>
          <w:ilvl w:val="0"/>
          <w:numId w:val="23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rzecznik patentowy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3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współuczestnik sporu</w:t>
      </w:r>
      <w:r w:rsidR="00D11FED">
        <w:rPr>
          <w:b/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3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krewni małżonka strony</w:t>
      </w:r>
      <w:r w:rsidR="00D11FED">
        <w:rPr>
          <w:sz w:val="24"/>
          <w:szCs w:val="24"/>
        </w:rPr>
        <w:t>.</w:t>
      </w: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lastRenderedPageBreak/>
        <w:t>Zgodnie z Kodeksem postępowania cywilnego do niezbędnych kosztów procesu strony reprezentowanej przez adwokata zalicza się:</w:t>
      </w:r>
    </w:p>
    <w:p w:rsidR="00A54B50" w:rsidRPr="00B00C4A" w:rsidRDefault="00A54B50" w:rsidP="00B4151F">
      <w:pPr>
        <w:pStyle w:val="Akapitzlist"/>
        <w:numPr>
          <w:ilvl w:val="0"/>
          <w:numId w:val="24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każde wynagrodzenie określone w umowie pisemnej pomiędzy stroną a adwokatem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4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koszty nakazanego przez sąd osobistego stawiennictwa strony</w:t>
      </w:r>
      <w:r w:rsidR="00D11FED">
        <w:rPr>
          <w:b/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4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nieponiesione jeszcze  przez stronę koszty sądowe</w:t>
      </w:r>
      <w:r w:rsidR="00D11FED">
        <w:rPr>
          <w:sz w:val="24"/>
          <w:szCs w:val="24"/>
        </w:rPr>
        <w:t>.</w:t>
      </w:r>
      <w:r w:rsidRPr="00B00C4A">
        <w:rPr>
          <w:sz w:val="24"/>
          <w:szCs w:val="24"/>
        </w:rPr>
        <w:t xml:space="preserve"> </w:t>
      </w:r>
    </w:p>
    <w:p w:rsidR="00B00C4A" w:rsidRPr="00B00C4A" w:rsidRDefault="00B00C4A" w:rsidP="00B4151F">
      <w:pPr>
        <w:pStyle w:val="Akapitzlist"/>
        <w:spacing w:line="360" w:lineRule="auto"/>
        <w:ind w:left="709"/>
        <w:jc w:val="left"/>
        <w:rPr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rStyle w:val="alb-s"/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cywilnego  zażalenie do sądu drugiej instancji przysługuje na postanowienie sądu pierwszej instancji, którego przedmiotem jest</w:t>
      </w:r>
      <w:r w:rsidRPr="00B00C4A">
        <w:rPr>
          <w:rStyle w:val="alb-s"/>
          <w:color w:val="0070C0"/>
          <w:sz w:val="24"/>
          <w:szCs w:val="24"/>
        </w:rPr>
        <w:t>:</w:t>
      </w:r>
    </w:p>
    <w:p w:rsidR="00A54B50" w:rsidRPr="00B00C4A" w:rsidRDefault="00A54B50" w:rsidP="00B4151F">
      <w:pPr>
        <w:pStyle w:val="Akapitzlist"/>
        <w:numPr>
          <w:ilvl w:val="0"/>
          <w:numId w:val="25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przekazanie sprawy sądowi wyższemu</w:t>
      </w:r>
      <w:r w:rsidR="00D11FED">
        <w:rPr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5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podjęcie postępowania w innym trybie</w:t>
      </w:r>
      <w:r w:rsidR="00D11FED">
        <w:rPr>
          <w:b/>
          <w:sz w:val="24"/>
          <w:szCs w:val="24"/>
        </w:rPr>
        <w:t>,</w:t>
      </w:r>
    </w:p>
    <w:p w:rsidR="00A54B50" w:rsidRPr="00B00C4A" w:rsidRDefault="00A54B50" w:rsidP="00B4151F">
      <w:pPr>
        <w:pStyle w:val="Akapitzlist"/>
        <w:numPr>
          <w:ilvl w:val="0"/>
          <w:numId w:val="25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B00C4A">
        <w:rPr>
          <w:sz w:val="24"/>
          <w:szCs w:val="24"/>
        </w:rPr>
        <w:t>udzielenie zabezpieczenia</w:t>
      </w:r>
      <w:r w:rsidR="00D11FED">
        <w:rPr>
          <w:sz w:val="24"/>
          <w:szCs w:val="24"/>
        </w:rPr>
        <w:t>.</w:t>
      </w:r>
    </w:p>
    <w:p w:rsidR="00F71130" w:rsidRPr="00B00C4A" w:rsidRDefault="00F71130" w:rsidP="00B4151F">
      <w:pPr>
        <w:pStyle w:val="Akapitzlist"/>
        <w:spacing w:line="360" w:lineRule="auto"/>
        <w:ind w:left="709"/>
        <w:jc w:val="left"/>
        <w:rPr>
          <w:sz w:val="24"/>
          <w:szCs w:val="24"/>
        </w:rPr>
      </w:pPr>
    </w:p>
    <w:p w:rsidR="00A54B50" w:rsidRPr="00B00C4A" w:rsidRDefault="00A54B50" w:rsidP="00B4151F">
      <w:pPr>
        <w:pStyle w:val="Akapitzlist"/>
        <w:numPr>
          <w:ilvl w:val="0"/>
          <w:numId w:val="1"/>
        </w:numPr>
        <w:spacing w:line="360" w:lineRule="auto"/>
        <w:rPr>
          <w:color w:val="0070C0"/>
          <w:sz w:val="24"/>
          <w:szCs w:val="24"/>
        </w:rPr>
      </w:pPr>
      <w:r w:rsidRPr="00B00C4A">
        <w:rPr>
          <w:color w:val="0070C0"/>
          <w:sz w:val="24"/>
          <w:szCs w:val="24"/>
        </w:rPr>
        <w:t>Zgodnie z Kodeksem postępowania cywilnego  skargę na czynności komornika wnosi się do</w:t>
      </w:r>
      <w:r w:rsidR="00B710F2" w:rsidRPr="00B00C4A">
        <w:rPr>
          <w:color w:val="0070C0"/>
          <w:sz w:val="24"/>
          <w:szCs w:val="24"/>
        </w:rPr>
        <w:t>:</w:t>
      </w:r>
      <w:r w:rsidRPr="00B00C4A">
        <w:rPr>
          <w:color w:val="0070C0"/>
          <w:sz w:val="24"/>
          <w:szCs w:val="24"/>
        </w:rPr>
        <w:t xml:space="preserve"> </w:t>
      </w:r>
    </w:p>
    <w:p w:rsidR="00A54B50" w:rsidRPr="00B00C4A" w:rsidRDefault="00A54B50" w:rsidP="00B4151F">
      <w:pPr>
        <w:pStyle w:val="Akapitzlist"/>
        <w:numPr>
          <w:ilvl w:val="0"/>
          <w:numId w:val="26"/>
        </w:numPr>
        <w:spacing w:line="360" w:lineRule="auto"/>
        <w:ind w:left="709" w:hanging="283"/>
        <w:jc w:val="left"/>
        <w:rPr>
          <w:b/>
          <w:sz w:val="24"/>
          <w:szCs w:val="24"/>
        </w:rPr>
      </w:pPr>
      <w:r w:rsidRPr="00B00C4A">
        <w:rPr>
          <w:b/>
          <w:sz w:val="24"/>
          <w:szCs w:val="24"/>
        </w:rPr>
        <w:t>do komornika, który zaniechał  dokonania zaskarżonej czynności</w:t>
      </w:r>
      <w:r w:rsidR="00D11FED">
        <w:rPr>
          <w:b/>
          <w:sz w:val="24"/>
          <w:szCs w:val="24"/>
        </w:rPr>
        <w:t>,</w:t>
      </w:r>
    </w:p>
    <w:p w:rsidR="00A54B50" w:rsidRPr="00207364" w:rsidRDefault="00A54B50" w:rsidP="00B4151F">
      <w:pPr>
        <w:pStyle w:val="Akapitzlist"/>
        <w:numPr>
          <w:ilvl w:val="0"/>
          <w:numId w:val="26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207364">
        <w:rPr>
          <w:sz w:val="24"/>
          <w:szCs w:val="24"/>
        </w:rPr>
        <w:t>do sądu rejonowego, jeżeli ustawa nie stanowi inaczej</w:t>
      </w:r>
      <w:r w:rsidR="00D11FED" w:rsidRPr="00207364">
        <w:rPr>
          <w:sz w:val="24"/>
          <w:szCs w:val="24"/>
        </w:rPr>
        <w:t>,</w:t>
      </w:r>
    </w:p>
    <w:p w:rsidR="00A54B50" w:rsidRPr="00207364" w:rsidRDefault="00A54B50" w:rsidP="00B4151F">
      <w:pPr>
        <w:pStyle w:val="Akapitzlist"/>
        <w:numPr>
          <w:ilvl w:val="0"/>
          <w:numId w:val="26"/>
        </w:numPr>
        <w:spacing w:line="360" w:lineRule="auto"/>
        <w:ind w:left="709" w:hanging="283"/>
        <w:jc w:val="left"/>
        <w:rPr>
          <w:sz w:val="24"/>
          <w:szCs w:val="24"/>
        </w:rPr>
      </w:pPr>
      <w:r w:rsidRPr="00207364">
        <w:rPr>
          <w:sz w:val="24"/>
          <w:szCs w:val="24"/>
        </w:rPr>
        <w:t>do  właściwego Prezesa Sądu Rejonowego</w:t>
      </w:r>
      <w:r w:rsidR="00D11FED" w:rsidRPr="00207364">
        <w:rPr>
          <w:sz w:val="24"/>
          <w:szCs w:val="24"/>
        </w:rPr>
        <w:t>.</w:t>
      </w:r>
      <w:r w:rsidRPr="00207364">
        <w:rPr>
          <w:sz w:val="24"/>
          <w:szCs w:val="24"/>
        </w:rPr>
        <w:t xml:space="preserve"> </w:t>
      </w:r>
    </w:p>
    <w:p w:rsidR="008C6831" w:rsidRPr="00B00C4A" w:rsidRDefault="008C6831" w:rsidP="00B4151F">
      <w:p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</w:p>
    <w:sectPr w:rsidR="008C6831" w:rsidRPr="00B00C4A" w:rsidSect="00B4151F">
      <w:headerReference w:type="default" r:id="rId9"/>
      <w:footerReference w:type="default" r:id="rId10"/>
      <w:pgSz w:w="11906" w:h="16838"/>
      <w:pgMar w:top="1134" w:right="1418" w:bottom="1134" w:left="1418" w:header="425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100" w:rsidRDefault="00833100" w:rsidP="00833100">
      <w:pPr>
        <w:spacing w:after="0" w:line="240" w:lineRule="auto"/>
      </w:pPr>
      <w:r>
        <w:separator/>
      </w:r>
    </w:p>
  </w:endnote>
  <w:endnote w:type="continuationSeparator" w:id="0">
    <w:p w:rsidR="00833100" w:rsidRDefault="00833100" w:rsidP="0083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9738176"/>
      <w:docPartObj>
        <w:docPartGallery w:val="Page Numbers (Bottom of Page)"/>
        <w:docPartUnique/>
      </w:docPartObj>
    </w:sdtPr>
    <w:sdtEndPr/>
    <w:sdtContent>
      <w:p w:rsidR="00833100" w:rsidRDefault="008331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33100" w:rsidRDefault="008331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100" w:rsidRDefault="00833100" w:rsidP="00833100">
      <w:pPr>
        <w:spacing w:after="0" w:line="240" w:lineRule="auto"/>
      </w:pPr>
      <w:r>
        <w:separator/>
      </w:r>
    </w:p>
  </w:footnote>
  <w:footnote w:type="continuationSeparator" w:id="0">
    <w:p w:rsidR="00833100" w:rsidRDefault="00833100" w:rsidP="0083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100" w:rsidRDefault="00833100">
    <w:pPr>
      <w:pStyle w:val="Nagwek"/>
    </w:pPr>
    <w:r>
      <w:t>Kd.1120-3/22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5472B"/>
    <w:multiLevelType w:val="hybridMultilevel"/>
    <w:tmpl w:val="C76627C8"/>
    <w:lvl w:ilvl="0" w:tplc="AAFAAD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51A6C"/>
    <w:multiLevelType w:val="hybridMultilevel"/>
    <w:tmpl w:val="821E5F9A"/>
    <w:lvl w:ilvl="0" w:tplc="04150017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9E3145"/>
    <w:multiLevelType w:val="hybridMultilevel"/>
    <w:tmpl w:val="BFACBBB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DB3818"/>
    <w:multiLevelType w:val="hybridMultilevel"/>
    <w:tmpl w:val="57D4C0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D6300"/>
    <w:multiLevelType w:val="hybridMultilevel"/>
    <w:tmpl w:val="B70266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01FFE"/>
    <w:multiLevelType w:val="hybridMultilevel"/>
    <w:tmpl w:val="9F3AE3A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782991"/>
    <w:multiLevelType w:val="hybridMultilevel"/>
    <w:tmpl w:val="E6641F92"/>
    <w:lvl w:ilvl="0" w:tplc="45F684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404EFD"/>
    <w:multiLevelType w:val="hybridMultilevel"/>
    <w:tmpl w:val="8550C65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037B19"/>
    <w:multiLevelType w:val="hybridMultilevel"/>
    <w:tmpl w:val="F104E67C"/>
    <w:lvl w:ilvl="0" w:tplc="A8B237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0E7EA5"/>
    <w:multiLevelType w:val="hybridMultilevel"/>
    <w:tmpl w:val="8E748E04"/>
    <w:lvl w:ilvl="0" w:tplc="9BF8FC66">
      <w:start w:val="25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50BFE"/>
    <w:multiLevelType w:val="hybridMultilevel"/>
    <w:tmpl w:val="BD805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7329F"/>
    <w:multiLevelType w:val="hybridMultilevel"/>
    <w:tmpl w:val="2B18B342"/>
    <w:lvl w:ilvl="0" w:tplc="AAFAAD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B56F20"/>
    <w:multiLevelType w:val="hybridMultilevel"/>
    <w:tmpl w:val="D9A408E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5D71BB"/>
    <w:multiLevelType w:val="hybridMultilevel"/>
    <w:tmpl w:val="87762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40175"/>
    <w:multiLevelType w:val="hybridMultilevel"/>
    <w:tmpl w:val="8B420F7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2845E9E"/>
    <w:multiLevelType w:val="hybridMultilevel"/>
    <w:tmpl w:val="2AA44D9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B161D9A"/>
    <w:multiLevelType w:val="hybridMultilevel"/>
    <w:tmpl w:val="B9F0D1D2"/>
    <w:lvl w:ilvl="0" w:tplc="AAFAAD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2E135A"/>
    <w:multiLevelType w:val="hybridMultilevel"/>
    <w:tmpl w:val="4BFA4A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133A1"/>
    <w:multiLevelType w:val="hybridMultilevel"/>
    <w:tmpl w:val="A50A142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DE43EE"/>
    <w:multiLevelType w:val="hybridMultilevel"/>
    <w:tmpl w:val="21BEDF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01460"/>
    <w:multiLevelType w:val="hybridMultilevel"/>
    <w:tmpl w:val="0CF68F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1C5A5C"/>
    <w:multiLevelType w:val="hybridMultilevel"/>
    <w:tmpl w:val="5F12D07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D3D656D"/>
    <w:multiLevelType w:val="hybridMultilevel"/>
    <w:tmpl w:val="15AA6F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E071C35"/>
    <w:multiLevelType w:val="hybridMultilevel"/>
    <w:tmpl w:val="56CC619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E9331DD"/>
    <w:multiLevelType w:val="hybridMultilevel"/>
    <w:tmpl w:val="7012FD5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F192963"/>
    <w:multiLevelType w:val="hybridMultilevel"/>
    <w:tmpl w:val="8F82D9F8"/>
    <w:lvl w:ilvl="0" w:tplc="47E8F3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4"/>
  </w:num>
  <w:num w:numId="4">
    <w:abstractNumId w:val="3"/>
  </w:num>
  <w:num w:numId="5">
    <w:abstractNumId w:val="20"/>
  </w:num>
  <w:num w:numId="6">
    <w:abstractNumId w:val="11"/>
  </w:num>
  <w:num w:numId="7">
    <w:abstractNumId w:val="16"/>
  </w:num>
  <w:num w:numId="8">
    <w:abstractNumId w:val="8"/>
  </w:num>
  <w:num w:numId="9">
    <w:abstractNumId w:val="0"/>
  </w:num>
  <w:num w:numId="10">
    <w:abstractNumId w:val="13"/>
  </w:num>
  <w:num w:numId="11">
    <w:abstractNumId w:val="19"/>
  </w:num>
  <w:num w:numId="12">
    <w:abstractNumId w:val="6"/>
  </w:num>
  <w:num w:numId="13">
    <w:abstractNumId w:val="10"/>
  </w:num>
  <w:num w:numId="14">
    <w:abstractNumId w:val="9"/>
  </w:num>
  <w:num w:numId="15">
    <w:abstractNumId w:val="14"/>
  </w:num>
  <w:num w:numId="16">
    <w:abstractNumId w:val="12"/>
  </w:num>
  <w:num w:numId="17">
    <w:abstractNumId w:val="22"/>
  </w:num>
  <w:num w:numId="18">
    <w:abstractNumId w:val="21"/>
  </w:num>
  <w:num w:numId="19">
    <w:abstractNumId w:val="23"/>
  </w:num>
  <w:num w:numId="20">
    <w:abstractNumId w:val="7"/>
  </w:num>
  <w:num w:numId="21">
    <w:abstractNumId w:val="5"/>
  </w:num>
  <w:num w:numId="22">
    <w:abstractNumId w:val="1"/>
  </w:num>
  <w:num w:numId="23">
    <w:abstractNumId w:val="24"/>
  </w:num>
  <w:num w:numId="24">
    <w:abstractNumId w:val="15"/>
  </w:num>
  <w:num w:numId="25">
    <w:abstractNumId w:val="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31"/>
    <w:rsid w:val="000C6195"/>
    <w:rsid w:val="00193C16"/>
    <w:rsid w:val="00207364"/>
    <w:rsid w:val="002E54D8"/>
    <w:rsid w:val="00364BB2"/>
    <w:rsid w:val="003A1E82"/>
    <w:rsid w:val="006A349C"/>
    <w:rsid w:val="006E5F4C"/>
    <w:rsid w:val="007250D6"/>
    <w:rsid w:val="00833100"/>
    <w:rsid w:val="00871253"/>
    <w:rsid w:val="008C6831"/>
    <w:rsid w:val="00963EF0"/>
    <w:rsid w:val="00992F61"/>
    <w:rsid w:val="00A01F2A"/>
    <w:rsid w:val="00A54B50"/>
    <w:rsid w:val="00B00C4A"/>
    <w:rsid w:val="00B4151F"/>
    <w:rsid w:val="00B710F2"/>
    <w:rsid w:val="00C714DB"/>
    <w:rsid w:val="00D11FED"/>
    <w:rsid w:val="00E52E8B"/>
    <w:rsid w:val="00EF1183"/>
    <w:rsid w:val="00F7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1E07A50-03A1-43EB-A092-523F1DB6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6831"/>
    <w:pPr>
      <w:spacing w:after="0" w:line="276" w:lineRule="auto"/>
      <w:ind w:left="720"/>
      <w:contextualSpacing/>
      <w:jc w:val="both"/>
    </w:pPr>
    <w:rPr>
      <w:rFonts w:ascii="Times New Roman" w:hAnsi="Times New Roman" w:cs="Times New Roman"/>
      <w:sz w:val="26"/>
      <w:szCs w:val="2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33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100"/>
  </w:style>
  <w:style w:type="paragraph" w:styleId="Stopka">
    <w:name w:val="footer"/>
    <w:basedOn w:val="Normalny"/>
    <w:link w:val="StopkaZnak"/>
    <w:uiPriority w:val="99"/>
    <w:unhideWhenUsed/>
    <w:rsid w:val="00833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100"/>
  </w:style>
  <w:style w:type="character" w:customStyle="1" w:styleId="alb-s">
    <w:name w:val="a_lb-s"/>
    <w:basedOn w:val="Domylnaczcionkaakapitu"/>
    <w:rsid w:val="00A54B50"/>
  </w:style>
  <w:style w:type="character" w:styleId="Hipercze">
    <w:name w:val="Hyperlink"/>
    <w:basedOn w:val="Domylnaczcionkaakapitu"/>
    <w:uiPriority w:val="99"/>
    <w:semiHidden/>
    <w:unhideWhenUsed/>
    <w:rsid w:val="00A54B5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5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0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1277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6</cp:revision>
  <cp:lastPrinted>2022-05-23T04:54:00Z</cp:lastPrinted>
  <dcterms:created xsi:type="dcterms:W3CDTF">2022-05-13T05:22:00Z</dcterms:created>
  <dcterms:modified xsi:type="dcterms:W3CDTF">2022-05-23T04:55:00Z</dcterms:modified>
</cp:coreProperties>
</file>